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264F" w14:textId="28531766" w:rsidR="00FF2627" w:rsidRPr="001C7EE5" w:rsidRDefault="00FF2627" w:rsidP="00E64AA0">
      <w:pPr>
        <w:jc w:val="center"/>
        <w:rPr>
          <w:b/>
          <w:bCs/>
          <w:color w:val="000000"/>
        </w:rPr>
      </w:pPr>
      <w:r w:rsidRPr="001C7EE5">
        <w:rPr>
          <w:b/>
          <w:bCs/>
          <w:color w:val="000000"/>
        </w:rPr>
        <w:t>The East Anatolian fault earthquake sequence of 6 February 2023: epicentral afterslip and anticipated future rupture propagation</w:t>
      </w:r>
    </w:p>
    <w:p w14:paraId="5421496F" w14:textId="77777777" w:rsidR="00EE7C3C" w:rsidRDefault="00EE7C3C">
      <w:pPr>
        <w:rPr>
          <w:color w:val="000000"/>
        </w:rPr>
      </w:pPr>
    </w:p>
    <w:p w14:paraId="42761279" w14:textId="4BB55708" w:rsidR="00EE7C3C" w:rsidRDefault="00EE7C3C" w:rsidP="00E64AA0">
      <w:pPr>
        <w:jc w:val="center"/>
        <w:rPr>
          <w:color w:val="000000"/>
        </w:rPr>
      </w:pPr>
      <w:r w:rsidRPr="00FF2627">
        <w:t>National Science Foundation</w:t>
      </w:r>
      <w:r>
        <w:t xml:space="preserve"> </w:t>
      </w:r>
      <w:r w:rsidRPr="00FF2627">
        <w:t>EAR1</w:t>
      </w:r>
      <w:r w:rsidRPr="00EE7C3C">
        <w:t>3020909</w:t>
      </w:r>
      <w:r w:rsidR="009F2D4E">
        <w:t>,</w:t>
      </w:r>
      <w:r w:rsidRPr="00EE7C3C">
        <w:t xml:space="preserve"> EAR 2318733 </w:t>
      </w:r>
      <w:r>
        <w:t xml:space="preserve">and supplement </w:t>
      </w:r>
      <w:r w:rsidRPr="00FF2627">
        <w:t>EAR</w:t>
      </w:r>
      <w:r w:rsidRPr="00FF2627">
        <w:rPr>
          <w:color w:val="000000"/>
        </w:rPr>
        <w:t xml:space="preserve"> 2404835</w:t>
      </w:r>
    </w:p>
    <w:p w14:paraId="49521129" w14:textId="6B2A32B3" w:rsidR="00FF2627" w:rsidRDefault="0067593C" w:rsidP="00E64AA0">
      <w:pPr>
        <w:pStyle w:val="Heading1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106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Efe Turan Ayruk</w:t>
      </w:r>
      <w:r w:rsidR="00FA106A">
        <w:rPr>
          <w:rFonts w:ascii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, </w:t>
      </w:r>
      <w:r w:rsidR="00FA106A" w:rsidRPr="00FA106A">
        <w:rPr>
          <w:rFonts w:ascii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Department of Geomatics Enginering</w:t>
      </w:r>
      <w:r w:rsidRPr="00FA10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A106A" w:rsidRPr="00FA106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Yıldız Technical University</w:t>
      </w:r>
      <w:r w:rsidR="00463B2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,</w:t>
      </w:r>
      <w:r w:rsidRPr="00FA10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Istanbul</w:t>
      </w:r>
    </w:p>
    <w:p w14:paraId="3E504FE6" w14:textId="3D56F136" w:rsidR="00FA106A" w:rsidRDefault="00F2695B" w:rsidP="00E64AA0">
      <w:pPr>
        <w:jc w:val="center"/>
        <w:rPr>
          <w:color w:val="000000" w:themeColor="text1"/>
        </w:rPr>
      </w:pPr>
      <w:r w:rsidRPr="00FA106A">
        <w:rPr>
          <w:color w:val="000000" w:themeColor="text1"/>
        </w:rPr>
        <w:t>Roger Bilham</w:t>
      </w:r>
      <w:r w:rsidR="006760E9">
        <w:rPr>
          <w:color w:val="000000" w:themeColor="text1"/>
        </w:rPr>
        <w:t>,</w:t>
      </w:r>
      <w:r w:rsidRPr="00FA106A">
        <w:rPr>
          <w:color w:val="000000" w:themeColor="text1"/>
        </w:rPr>
        <w:t xml:space="preserve"> CIRES and Geological Sciences, University of Colorado, Boulder CO 80309</w:t>
      </w:r>
    </w:p>
    <w:p w14:paraId="3BB9A3F9" w14:textId="77777777" w:rsidR="006760E9" w:rsidRDefault="006760E9" w:rsidP="00FA106A">
      <w:pPr>
        <w:rPr>
          <w:color w:val="000000" w:themeColor="text1"/>
        </w:rPr>
      </w:pPr>
    </w:p>
    <w:p w14:paraId="74A41C0F" w14:textId="77777777" w:rsidR="00E64AA0" w:rsidRDefault="006760E9" w:rsidP="00E64AA0">
      <w:pPr>
        <w:rPr>
          <w:color w:val="000000" w:themeColor="text1"/>
        </w:rPr>
      </w:pPr>
      <w:r w:rsidRPr="00A242A5">
        <w:rPr>
          <w:b/>
          <w:bCs/>
          <w:color w:val="000000" w:themeColor="text1"/>
        </w:rPr>
        <w:t>Acknowledgements</w:t>
      </w:r>
      <w:r w:rsidRPr="00A242A5">
        <w:rPr>
          <w:color w:val="000000" w:themeColor="text1"/>
        </w:rPr>
        <w:t xml:space="preserve"> </w:t>
      </w:r>
    </w:p>
    <w:p w14:paraId="2B4AE71D" w14:textId="47892D85" w:rsidR="006760E9" w:rsidRDefault="006760E9" w:rsidP="00E64AA0">
      <w:pPr>
        <w:ind w:firstLine="720"/>
        <w:rPr>
          <w:color w:val="000000"/>
        </w:rPr>
      </w:pPr>
      <w:r w:rsidRPr="00A242A5">
        <w:rPr>
          <w:color w:val="000000" w:themeColor="text1"/>
        </w:rPr>
        <w:t xml:space="preserve">Numerous investigators </w:t>
      </w:r>
      <w:r w:rsidR="00A242A5">
        <w:rPr>
          <w:color w:val="000000" w:themeColor="text1"/>
        </w:rPr>
        <w:t xml:space="preserve">have </w:t>
      </w:r>
      <w:r w:rsidRPr="00A242A5">
        <w:rPr>
          <w:color w:val="000000" w:themeColor="text1"/>
        </w:rPr>
        <w:t xml:space="preserve">contributed to </w:t>
      </w:r>
      <w:r w:rsidR="00A242A5">
        <w:rPr>
          <w:color w:val="000000" w:themeColor="text1"/>
        </w:rPr>
        <w:t xml:space="preserve">site-selection, </w:t>
      </w:r>
      <w:r w:rsidRPr="00A242A5">
        <w:rPr>
          <w:color w:val="000000" w:themeColor="text1"/>
        </w:rPr>
        <w:t>deployment, installation, data retrieval</w:t>
      </w:r>
      <w:r w:rsidR="00A242A5">
        <w:rPr>
          <w:color w:val="000000" w:themeColor="text1"/>
        </w:rPr>
        <w:t>, maintenance</w:t>
      </w:r>
      <w:r w:rsidRPr="00A242A5">
        <w:rPr>
          <w:color w:val="000000" w:themeColor="text1"/>
        </w:rPr>
        <w:t xml:space="preserve"> and operation of the East Anatolian fault creepmeters:</w:t>
      </w:r>
      <w:r w:rsidRPr="00A242A5">
        <w:t xml:space="preserve"> </w:t>
      </w:r>
      <w:r w:rsidRPr="00A242A5">
        <w:t xml:space="preserve">Recep </w:t>
      </w:r>
      <w:r w:rsidRPr="00A242A5">
        <w:rPr>
          <w:color w:val="000000"/>
        </w:rPr>
        <w:t xml:space="preserve">Tayyib </w:t>
      </w:r>
      <w:proofErr w:type="spellStart"/>
      <w:r w:rsidRPr="00A242A5">
        <w:rPr>
          <w:color w:val="000000"/>
        </w:rPr>
        <w:t>İrgüren</w:t>
      </w:r>
      <w:proofErr w:type="spellEnd"/>
      <w:r w:rsidRPr="00A242A5">
        <w:t xml:space="preserve">, </w:t>
      </w:r>
      <w:r w:rsidRPr="00A242A5">
        <w:rPr>
          <w:color w:val="222222"/>
          <w:shd w:val="clear" w:color="auto" w:fill="FFFFFF"/>
        </w:rPr>
        <w:t xml:space="preserve">Muhammed Turgut, Abdulrahman </w:t>
      </w:r>
      <w:proofErr w:type="spellStart"/>
      <w:r w:rsidRPr="00A242A5">
        <w:rPr>
          <w:color w:val="222222"/>
          <w:shd w:val="clear" w:color="auto" w:fill="FFFFFF"/>
        </w:rPr>
        <w:t>Elhisso</w:t>
      </w:r>
      <w:proofErr w:type="spellEnd"/>
      <w:r w:rsidRPr="00A242A5">
        <w:rPr>
          <w:color w:val="222222"/>
          <w:shd w:val="clear" w:color="auto" w:fill="FFFFFF"/>
        </w:rPr>
        <w:t xml:space="preserve">, </w:t>
      </w:r>
      <w:r w:rsidRPr="00A242A5">
        <w:t xml:space="preserve">Ilay </w:t>
      </w:r>
      <w:proofErr w:type="spellStart"/>
      <w:r w:rsidRPr="00A242A5">
        <w:t>Farimaz</w:t>
      </w:r>
      <w:proofErr w:type="spellEnd"/>
      <w:r w:rsidRPr="00A242A5">
        <w:t xml:space="preserve">, </w:t>
      </w:r>
      <w:r w:rsidRPr="00A242A5">
        <w:t>Mehmet Kokum</w:t>
      </w:r>
      <w:r w:rsidRPr="00A242A5">
        <w:t xml:space="preserve">, Ugur Dogan, Seda </w:t>
      </w:r>
      <w:proofErr w:type="spellStart"/>
      <w:r w:rsidRPr="00A242A5">
        <w:t>Ozarpaci</w:t>
      </w:r>
      <w:proofErr w:type="spellEnd"/>
      <w:r w:rsidR="00A242A5">
        <w:t>,</w:t>
      </w:r>
      <w:r w:rsidRPr="00A242A5">
        <w:t xml:space="preserve"> </w:t>
      </w:r>
      <w:proofErr w:type="spellStart"/>
      <w:r w:rsidRPr="00A242A5">
        <w:rPr>
          <w:color w:val="000000"/>
        </w:rPr>
        <w:t>Alpay</w:t>
      </w:r>
      <w:proofErr w:type="spellEnd"/>
      <w:r w:rsidRPr="00A242A5">
        <w:rPr>
          <w:color w:val="000000"/>
        </w:rPr>
        <w:t xml:space="preserve"> </w:t>
      </w:r>
      <w:proofErr w:type="spellStart"/>
      <w:r w:rsidRPr="00A242A5">
        <w:rPr>
          <w:color w:val="000000"/>
        </w:rPr>
        <w:t>Özdemir</w:t>
      </w:r>
      <w:proofErr w:type="spellEnd"/>
      <w:r w:rsidR="00A242A5" w:rsidRPr="00A242A5">
        <w:rPr>
          <w:color w:val="000000"/>
        </w:rPr>
        <w:t xml:space="preserve">, </w:t>
      </w:r>
      <w:r w:rsidR="00A242A5" w:rsidRPr="00A242A5">
        <w:rPr>
          <w:color w:val="000000"/>
        </w:rPr>
        <w:t xml:space="preserve">Semih </w:t>
      </w:r>
      <w:proofErr w:type="spellStart"/>
      <w:r w:rsidR="00A242A5" w:rsidRPr="00A242A5">
        <w:rPr>
          <w:color w:val="000000"/>
        </w:rPr>
        <w:t>Ergintav</w:t>
      </w:r>
      <w:proofErr w:type="spellEnd"/>
      <w:r w:rsidR="00A242A5" w:rsidRPr="00A242A5">
        <w:rPr>
          <w:color w:val="000000"/>
        </w:rPr>
        <w:t xml:space="preserve"> and </w:t>
      </w:r>
      <w:proofErr w:type="spellStart"/>
      <w:r w:rsidR="00A242A5" w:rsidRPr="00A242A5">
        <w:rPr>
          <w:color w:val="000000"/>
        </w:rPr>
        <w:t>Ziyadin</w:t>
      </w:r>
      <w:proofErr w:type="spellEnd"/>
      <w:r w:rsidR="00A242A5" w:rsidRPr="00A242A5">
        <w:rPr>
          <w:color w:val="000000"/>
        </w:rPr>
        <w:t xml:space="preserve"> </w:t>
      </w:r>
      <w:proofErr w:type="spellStart"/>
      <w:r w:rsidR="00A242A5" w:rsidRPr="00A242A5">
        <w:rPr>
          <w:color w:val="000000"/>
        </w:rPr>
        <w:t>Çakir</w:t>
      </w:r>
      <w:proofErr w:type="spellEnd"/>
      <w:r w:rsidR="00A242A5">
        <w:rPr>
          <w:color w:val="000000"/>
        </w:rPr>
        <w:t xml:space="preserve">.  </w:t>
      </w:r>
      <w:r w:rsidR="00E9014F">
        <w:rPr>
          <w:color w:val="000000"/>
        </w:rPr>
        <w:t>This list is by no means complete and we apologize if we have inadvertently omitted a colleague.</w:t>
      </w:r>
    </w:p>
    <w:p w14:paraId="62B0105B" w14:textId="68F509D9" w:rsidR="00A242A5" w:rsidRDefault="00A242A5" w:rsidP="00E64AA0">
      <w:pPr>
        <w:ind w:firstLine="720"/>
        <w:jc w:val="both"/>
        <w:rPr>
          <w:color w:val="000000"/>
        </w:rPr>
      </w:pPr>
      <w:r>
        <w:rPr>
          <w:color w:val="000000"/>
        </w:rPr>
        <w:t>On occasion</w:t>
      </w:r>
      <w:r w:rsidR="00E9014F">
        <w:rPr>
          <w:color w:val="000000"/>
        </w:rPr>
        <w:t xml:space="preserve">, </w:t>
      </w:r>
      <w:r>
        <w:rPr>
          <w:color w:val="000000"/>
        </w:rPr>
        <w:t xml:space="preserve">some of the data listed in this </w:t>
      </w:r>
      <w:r w:rsidR="00364C4F">
        <w:rPr>
          <w:color w:val="000000"/>
        </w:rPr>
        <w:t xml:space="preserve">1.3 </w:t>
      </w:r>
      <w:proofErr w:type="spellStart"/>
      <w:r w:rsidR="00364C4F">
        <w:rPr>
          <w:color w:val="000000"/>
        </w:rPr>
        <w:t>Gbyte</w:t>
      </w:r>
      <w:proofErr w:type="spellEnd"/>
      <w:r w:rsidR="00364C4F">
        <w:rPr>
          <w:color w:val="000000"/>
        </w:rPr>
        <w:t xml:space="preserve"> </w:t>
      </w:r>
      <w:r>
        <w:rPr>
          <w:color w:val="000000"/>
        </w:rPr>
        <w:t xml:space="preserve">archive were retrieved </w:t>
      </w:r>
      <w:r w:rsidR="00E9014F">
        <w:rPr>
          <w:color w:val="000000"/>
        </w:rPr>
        <w:t xml:space="preserve">by investigators supported </w:t>
      </w:r>
      <w:proofErr w:type="spellStart"/>
      <w:r w:rsidR="00E9014F">
        <w:rPr>
          <w:color w:val="000000"/>
        </w:rPr>
        <w:t>Tubitak</w:t>
      </w:r>
      <w:proofErr w:type="spellEnd"/>
      <w:r w:rsidR="00E9014F">
        <w:rPr>
          <w:color w:val="000000"/>
        </w:rPr>
        <w:t xml:space="preserve"> funding.</w:t>
      </w:r>
    </w:p>
    <w:p w14:paraId="29107AD7" w14:textId="77777777" w:rsidR="00A242A5" w:rsidRDefault="00A242A5" w:rsidP="006760E9">
      <w:pPr>
        <w:jc w:val="both"/>
        <w:rPr>
          <w:color w:val="000000"/>
        </w:rPr>
      </w:pPr>
    </w:p>
    <w:p w14:paraId="6F786C52" w14:textId="7FCFF722" w:rsidR="00E64AA0" w:rsidRDefault="00A242A5" w:rsidP="00FF2627">
      <w:r w:rsidRPr="00A242A5">
        <w:rPr>
          <w:b/>
          <w:bCs/>
        </w:rPr>
        <w:t>Summary</w:t>
      </w:r>
    </w:p>
    <w:p w14:paraId="4A9CD070" w14:textId="3EA588A8" w:rsidR="00A8373D" w:rsidRDefault="00FC7ADE" w:rsidP="00E64AA0">
      <w:pPr>
        <w:ind w:firstLine="720"/>
      </w:pPr>
      <w:r w:rsidRPr="0067593C">
        <w:t>Four</w:t>
      </w:r>
      <w:r w:rsidR="0045200A" w:rsidRPr="0067593C">
        <w:t xml:space="preserve">teen </w:t>
      </w:r>
      <w:r w:rsidR="0040101B" w:rsidRPr="0067593C">
        <w:t>carbon</w:t>
      </w:r>
      <w:r w:rsidRPr="0067593C">
        <w:t>-</w:t>
      </w:r>
      <w:r w:rsidR="0040101B" w:rsidRPr="0067593C">
        <w:t xml:space="preserve">rod </w:t>
      </w:r>
      <w:r w:rsidR="0045200A" w:rsidRPr="0067593C">
        <w:t>e</w:t>
      </w:r>
      <w:r w:rsidR="004E1453" w:rsidRPr="0067593C">
        <w:t>xtensometers</w:t>
      </w:r>
      <w:r w:rsidR="0040101B" w:rsidRPr="0067593C">
        <w:t xml:space="preserve"> (creepmeters</w:t>
      </w:r>
      <w:r w:rsidR="00E9014F">
        <w:t xml:space="preserve"> </w:t>
      </w:r>
      <w:r w:rsidR="00A242A5">
        <w:t>constructed in the University of Colorado</w:t>
      </w:r>
      <w:r w:rsidR="00E9014F">
        <w:t>)</w:t>
      </w:r>
      <w:r w:rsidR="00A242A5">
        <w:t xml:space="preserve"> </w:t>
      </w:r>
      <w:r w:rsidR="0045200A" w:rsidRPr="0067593C">
        <w:t xml:space="preserve">were placed across </w:t>
      </w:r>
      <w:r w:rsidR="00FF2627" w:rsidRPr="0067593C">
        <w:t xml:space="preserve">surface ruptures of the Mw7.8 and Mw7.6 ruptures of the </w:t>
      </w:r>
      <w:r w:rsidR="00131399" w:rsidRPr="0067593C">
        <w:t>Kahramanmaraş</w:t>
      </w:r>
      <w:r w:rsidR="00FF2627" w:rsidRPr="0067593C">
        <w:t xml:space="preserve"> earthquake sequence of 6 February 2023</w:t>
      </w:r>
      <w:r w:rsidR="0045200A" w:rsidRPr="0067593C">
        <w:t xml:space="preserve"> to </w:t>
      </w:r>
      <w:r w:rsidR="0040101B" w:rsidRPr="0067593C">
        <w:t>record</w:t>
      </w:r>
      <w:r w:rsidR="0045200A" w:rsidRPr="0067593C">
        <w:t xml:space="preserve"> </w:t>
      </w:r>
      <w:r w:rsidR="0040101B" w:rsidRPr="0067593C">
        <w:t>potential</w:t>
      </w:r>
      <w:r w:rsidR="0045200A" w:rsidRPr="0067593C">
        <w:t xml:space="preserve"> afterslip</w:t>
      </w:r>
      <w:r w:rsidR="00B464F9">
        <w:t xml:space="preserve"> (</w:t>
      </w:r>
      <w:proofErr w:type="spellStart"/>
      <w:r w:rsidR="00B464F9">
        <w:t>Ayruk</w:t>
      </w:r>
      <w:proofErr w:type="spellEnd"/>
      <w:r w:rsidR="00B464F9">
        <w:t xml:space="preserve"> et al., 2024).  </w:t>
      </w:r>
      <w:r w:rsidR="004C7BEE" w:rsidRPr="0067593C">
        <w:t>The</w:t>
      </w:r>
      <w:r w:rsidR="0067476B" w:rsidRPr="0067593C">
        <w:t>ir data</w:t>
      </w:r>
      <w:r w:rsidR="004C7BEE" w:rsidRPr="0067593C">
        <w:t xml:space="preserve"> are depicted graphically </w:t>
      </w:r>
      <w:r w:rsidR="0040101B" w:rsidRPr="0067593C">
        <w:t>as time series</w:t>
      </w:r>
      <w:r w:rsidR="0040101B">
        <w:t xml:space="preserve"> </w:t>
      </w:r>
      <w:r w:rsidR="004C7BEE">
        <w:t xml:space="preserve">in </w:t>
      </w:r>
      <w:r w:rsidR="00DB2CF0">
        <w:t>the</w:t>
      </w:r>
      <w:r w:rsidR="004C7BEE">
        <w:t xml:space="preserve"> attached </w:t>
      </w:r>
      <w:r w:rsidR="00DB2CF0">
        <w:t xml:space="preserve">annual report </w:t>
      </w:r>
      <w:r w:rsidR="00A571F1">
        <w:t>for</w:t>
      </w:r>
      <w:r w:rsidR="00DB2CF0">
        <w:t xml:space="preserve"> the NSF </w:t>
      </w:r>
      <w:r w:rsidR="00652475">
        <w:t xml:space="preserve">research grant. The </w:t>
      </w:r>
      <w:r w:rsidR="007F0F73">
        <w:t>location and length of each extensometer</w:t>
      </w:r>
      <w:r w:rsidR="00652475">
        <w:t xml:space="preserve"> are listed in Table 1</w:t>
      </w:r>
      <w:r w:rsidR="007F0F73">
        <w:t xml:space="preserve">. </w:t>
      </w:r>
      <w:r w:rsidR="000B5878">
        <w:t>Data from 2023 and early 2024 are included in this report</w:t>
      </w:r>
      <w:r w:rsidR="001F7559">
        <w:t xml:space="preserve">.  </w:t>
      </w:r>
      <w:r w:rsidR="00FF6FEF">
        <w:t>Each</w:t>
      </w:r>
      <w:r w:rsidR="004C7BEE">
        <w:t xml:space="preserve"> instrument</w:t>
      </w:r>
      <w:r w:rsidR="00FF6FEF">
        <w:t xml:space="preserve"> consists of</w:t>
      </w:r>
      <w:r w:rsidR="004C7BEE">
        <w:t xml:space="preserve"> a carbon rod extensometer with a rotary Hall sensor</w:t>
      </w:r>
      <w:r w:rsidR="00D65A1A">
        <w:t xml:space="preserve">, </w:t>
      </w:r>
      <w:r w:rsidR="00FF6FEF">
        <w:t xml:space="preserve">which </w:t>
      </w:r>
      <w:r w:rsidR="00D65A1A">
        <w:t>has a</w:t>
      </w:r>
      <w:r w:rsidR="004C7BEE">
        <w:t xml:space="preserve"> full-scale wrap of ≈10 mm </w:t>
      </w:r>
      <w:r w:rsidR="00D65A1A">
        <w:t>measured to 12</w:t>
      </w:r>
      <w:r w:rsidR="00FF6FEF">
        <w:t>-</w:t>
      </w:r>
      <w:r w:rsidR="00D65A1A">
        <w:t>bit</w:t>
      </w:r>
      <w:r w:rsidR="00FF6FEF">
        <w:t>-</w:t>
      </w:r>
      <w:r w:rsidR="00D65A1A">
        <w:t>precision</w:t>
      </w:r>
      <w:r w:rsidR="00FF6FEF">
        <w:t xml:space="preserve"> (</w:t>
      </w:r>
      <w:r w:rsidR="00C04607">
        <w:t>~</w:t>
      </w:r>
      <w:r w:rsidR="00FF6FEF">
        <w:t>2.5 µm)</w:t>
      </w:r>
      <w:r w:rsidR="00D65A1A">
        <w:t xml:space="preserve">, </w:t>
      </w:r>
      <w:r w:rsidR="004C7BEE">
        <w:t xml:space="preserve">and </w:t>
      </w:r>
      <w:r w:rsidR="001F7559">
        <w:t xml:space="preserve">a </w:t>
      </w:r>
      <w:r w:rsidR="00FF6FEF">
        <w:t xml:space="preserve">concatenated </w:t>
      </w:r>
      <w:r w:rsidR="004C7BEE">
        <w:t>range of 1.6 m</w:t>
      </w:r>
      <w:r w:rsidR="001F7559">
        <w:t xml:space="preserve"> </w:t>
      </w:r>
      <w:r w:rsidR="009D45B0">
        <w:t>(</w:t>
      </w:r>
      <w:r w:rsidR="001F7559">
        <w:t xml:space="preserve">after </w:t>
      </w:r>
      <w:r w:rsidR="009D45B0">
        <w:t>the data are unwrapped)</w:t>
      </w:r>
      <w:r w:rsidR="00D65A1A">
        <w:t xml:space="preserve">. </w:t>
      </w:r>
      <w:r w:rsidR="00C04607">
        <w:t xml:space="preserve">The instrument </w:t>
      </w:r>
      <w:r w:rsidR="004C7BEE">
        <w:t>is described briefly in</w:t>
      </w:r>
      <w:r w:rsidR="00B464F9">
        <w:t xml:space="preserve"> Bilham and Castillo, 2020 and</w:t>
      </w:r>
      <w:r w:rsidR="004C7BEE">
        <w:t xml:space="preserve"> </w:t>
      </w:r>
      <w:r w:rsidR="00B464F9">
        <w:t>Langbein et al., (2024)</w:t>
      </w:r>
      <w:r w:rsidR="00720D53">
        <w:t>.</w:t>
      </w:r>
      <w:r w:rsidR="004C7BEE">
        <w:t xml:space="preserve"> Most of the data were recorded at a rate of 1 sample per minute</w:t>
      </w:r>
      <w:r w:rsidR="00D71F45">
        <w:t>.</w:t>
      </w:r>
      <w:r w:rsidR="00385E5B">
        <w:t xml:space="preserve"> </w:t>
      </w:r>
      <w:r w:rsidR="008514F9">
        <w:t>At two sites (</w:t>
      </w:r>
      <w:proofErr w:type="spellStart"/>
      <w:r w:rsidR="008514F9">
        <w:t>Karakose</w:t>
      </w:r>
      <w:proofErr w:type="spellEnd"/>
      <w:r w:rsidR="008514F9">
        <w:t xml:space="preserve"> and Goksun</w:t>
      </w:r>
      <w:r w:rsidR="000A49E8">
        <w:t xml:space="preserve"> (1Dec2023)</w:t>
      </w:r>
      <w:r w:rsidR="008514F9">
        <w:t xml:space="preserve"> biaxial creepmeters were installed</w:t>
      </w:r>
      <w:r w:rsidR="00A92976">
        <w:t xml:space="preserve">, the orthogonal component permitting fault dilatation to be </w:t>
      </w:r>
      <w:r w:rsidR="00E87886">
        <w:t>quantified</w:t>
      </w:r>
      <w:r w:rsidR="00A92976">
        <w:t>.</w:t>
      </w:r>
    </w:p>
    <w:p w14:paraId="66F36774" w14:textId="77777777" w:rsidR="00A8373D" w:rsidRDefault="00A8373D" w:rsidP="00FF2627"/>
    <w:p w14:paraId="41184F43" w14:textId="2FD221BB" w:rsidR="00385E5B" w:rsidRDefault="00F0169A" w:rsidP="00E64AA0">
      <w:pPr>
        <w:ind w:firstLine="720"/>
      </w:pPr>
      <w:r>
        <w:t>After</w:t>
      </w:r>
      <w:r w:rsidR="0000657F">
        <w:t xml:space="preserve"> </w:t>
      </w:r>
      <w:r>
        <w:t xml:space="preserve">editing to remove measurement artifacts, </w:t>
      </w:r>
      <w:r w:rsidR="00897AD8">
        <w:t xml:space="preserve">cumulative </w:t>
      </w:r>
      <w:r>
        <w:t>d</w:t>
      </w:r>
      <w:r w:rsidR="004C7BEE">
        <w:t xml:space="preserve">ata </w:t>
      </w:r>
      <w:r w:rsidR="00A242A5">
        <w:t>have been incrementally</w:t>
      </w:r>
      <w:r w:rsidR="000A49E8">
        <w:t xml:space="preserve"> </w:t>
      </w:r>
      <w:r w:rsidR="004C7BEE">
        <w:t xml:space="preserve">archived in the </w:t>
      </w:r>
      <w:r w:rsidR="00D65A1A">
        <w:t xml:space="preserve">NSF </w:t>
      </w:r>
      <w:r w:rsidR="004C7BEE">
        <w:t>G</w:t>
      </w:r>
      <w:r w:rsidR="00D65A1A">
        <w:t>AGE</w:t>
      </w:r>
      <w:r w:rsidR="004C7BEE">
        <w:t xml:space="preserve"> facility</w:t>
      </w:r>
      <w:r w:rsidR="000A49E8">
        <w:t xml:space="preserve"> creep data base</w:t>
      </w:r>
      <w:r>
        <w:t>.  Th</w:t>
      </w:r>
      <w:r w:rsidR="00A8373D">
        <w:t xml:space="preserve">e digital </w:t>
      </w:r>
      <w:r w:rsidR="00720D53">
        <w:t xml:space="preserve">data </w:t>
      </w:r>
      <w:r w:rsidR="00A8373D">
        <w:t>archive</w:t>
      </w:r>
      <w:r w:rsidR="00720D53">
        <w:t>d</w:t>
      </w:r>
      <w:r w:rsidR="0088246E">
        <w:t xml:space="preserve"> here</w:t>
      </w:r>
      <w:r w:rsidR="00A8373D">
        <w:t xml:space="preserve"> </w:t>
      </w:r>
      <w:r w:rsidR="00720D53">
        <w:t xml:space="preserve">describe </w:t>
      </w:r>
      <w:r w:rsidR="00E64AA0">
        <w:t xml:space="preserve">uninterpreted </w:t>
      </w:r>
      <w:r w:rsidR="00720D53">
        <w:t>data</w:t>
      </w:r>
      <w:r w:rsidR="001E1C85">
        <w:t xml:space="preserve"> </w:t>
      </w:r>
      <w:r w:rsidR="00441A4D">
        <w:t xml:space="preserve">edited </w:t>
      </w:r>
      <w:r w:rsidR="001E1C85">
        <w:t>to mid 2024</w:t>
      </w:r>
      <w:r w:rsidR="00A242A5">
        <w:t xml:space="preserve"> compiled by the authors of this "read-me"</w:t>
      </w:r>
      <w:r w:rsidR="00E9014F">
        <w:t xml:space="preserve"> file.</w:t>
      </w:r>
    </w:p>
    <w:p w14:paraId="5469B6A1" w14:textId="77777777" w:rsidR="00385E5B" w:rsidRDefault="00385E5B" w:rsidP="00FF2627"/>
    <w:p w14:paraId="72DA6019" w14:textId="4C89E486" w:rsidR="00E64AA0" w:rsidRDefault="001E1C85" w:rsidP="00FF2627">
      <w:r w:rsidRPr="0000657F">
        <w:rPr>
          <w:b/>
          <w:bCs/>
        </w:rPr>
        <w:t>Timing</w:t>
      </w:r>
    </w:p>
    <w:p w14:paraId="4D05CCF0" w14:textId="2BDDB0F5" w:rsidR="004C7BEE" w:rsidRDefault="004C7BEE" w:rsidP="00E64AA0">
      <w:pPr>
        <w:ind w:firstLine="720"/>
      </w:pPr>
      <w:r>
        <w:t>Although some data were telemetered</w:t>
      </w:r>
      <w:r w:rsidR="001E1C85">
        <w:t xml:space="preserve"> (providing synchronous common</w:t>
      </w:r>
      <w:r w:rsidR="0067593C">
        <w:t xml:space="preserve"> </w:t>
      </w:r>
      <w:r w:rsidR="00720D53">
        <w:t>U</w:t>
      </w:r>
      <w:r w:rsidR="0067593C">
        <w:t>TC corrected</w:t>
      </w:r>
      <w:r w:rsidR="001E1C85">
        <w:t xml:space="preserve"> timing)</w:t>
      </w:r>
      <w:r>
        <w:t xml:space="preserve"> a new law was introduced </w:t>
      </w:r>
      <w:r w:rsidR="003911C5">
        <w:t xml:space="preserve">in Turkey during the measurements </w:t>
      </w:r>
      <w:r w:rsidR="00D65A1A">
        <w:t>that denie</w:t>
      </w:r>
      <w:r w:rsidR="001E1C85">
        <w:t>d</w:t>
      </w:r>
      <w:r w:rsidR="00A00451">
        <w:t xml:space="preserve"> </w:t>
      </w:r>
      <w:r w:rsidR="00D65A1A">
        <w:t xml:space="preserve">cell </w:t>
      </w:r>
      <w:r>
        <w:t xml:space="preserve">use </w:t>
      </w:r>
      <w:r w:rsidR="00D65A1A">
        <w:t xml:space="preserve">to </w:t>
      </w:r>
      <w:r>
        <w:t xml:space="preserve">foreign IMEI </w:t>
      </w:r>
      <w:r w:rsidR="005B2549">
        <w:t xml:space="preserve">serial </w:t>
      </w:r>
      <w:r>
        <w:t>numbers</w:t>
      </w:r>
      <w:r w:rsidR="00D65A1A">
        <w:t xml:space="preserve"> after two months of operation.  This resulted in a number of gaps in the data (days or weeks) as we responded to instruments going down at apparently random times</w:t>
      </w:r>
      <w:r w:rsidR="00393F9A">
        <w:t xml:space="preserve">. After the problem was diagnosed the data were all recorded </w:t>
      </w:r>
      <w:r w:rsidR="005B2549">
        <w:t xml:space="preserve">by local data loggers and download </w:t>
      </w:r>
      <w:r w:rsidR="00393F9A">
        <w:t>manually</w:t>
      </w:r>
      <w:r w:rsidR="0067593C">
        <w:t xml:space="preserve">.  </w:t>
      </w:r>
      <w:r w:rsidR="00C919B0">
        <w:t xml:space="preserve"> </w:t>
      </w:r>
      <w:r w:rsidR="00BD6B0D">
        <w:t>At some sites w</w:t>
      </w:r>
      <w:r w:rsidR="00C919B0">
        <w:t xml:space="preserve">here </w:t>
      </w:r>
      <w:r w:rsidR="00CD4E7A">
        <w:t xml:space="preserve">the </w:t>
      </w:r>
      <w:r w:rsidR="00BD6B0D">
        <w:t xml:space="preserve">afterslip </w:t>
      </w:r>
      <w:r w:rsidR="00CD4E7A">
        <w:t xml:space="preserve">signal was </w:t>
      </w:r>
      <w:r w:rsidR="00BD6B0D">
        <w:t xml:space="preserve">considered </w:t>
      </w:r>
      <w:r w:rsidR="00804D23">
        <w:t>unin</w:t>
      </w:r>
      <w:r w:rsidR="00BD6B0D">
        <w:t>formative</w:t>
      </w:r>
      <w:r w:rsidR="00CD4E7A">
        <w:t xml:space="preserve">, </w:t>
      </w:r>
      <w:r w:rsidR="00C919B0">
        <w:t>instrument</w:t>
      </w:r>
      <w:r w:rsidR="00BD6B0D">
        <w:t xml:space="preserve">s were </w:t>
      </w:r>
      <w:r w:rsidR="00C919B0">
        <w:t>removed</w:t>
      </w:r>
      <w:r w:rsidR="00BD6B0D">
        <w:t xml:space="preserve"> and redeployed</w:t>
      </w:r>
      <w:r w:rsidR="00C919B0">
        <w:t xml:space="preserve">. </w:t>
      </w:r>
      <w:r w:rsidR="00D65A1A">
        <w:t xml:space="preserve"> </w:t>
      </w:r>
      <w:r>
        <w:t xml:space="preserve">The telemetered data have a time stamp accurate to 1 second.  The autonomous data loggers may have timing errors of up to one minute </w:t>
      </w:r>
      <w:r w:rsidR="001C7EA9">
        <w:t xml:space="preserve">after </w:t>
      </w:r>
      <w:r>
        <w:t xml:space="preserve">corrections for linear clock drift between </w:t>
      </w:r>
      <w:r w:rsidR="00D65A1A">
        <w:t xml:space="preserve">data </w:t>
      </w:r>
      <w:r>
        <w:t xml:space="preserve">launch and </w:t>
      </w:r>
      <w:r w:rsidR="00D65A1A">
        <w:t>retrieval.</w:t>
      </w:r>
    </w:p>
    <w:p w14:paraId="0776D969" w14:textId="77777777" w:rsidR="00D65A1A" w:rsidRDefault="00D65A1A" w:rsidP="00FF2627"/>
    <w:p w14:paraId="62DD8D59" w14:textId="77777777" w:rsidR="00752973" w:rsidRDefault="005C7084" w:rsidP="00FF2627">
      <w:pPr>
        <w:rPr>
          <w:b/>
          <w:bCs/>
        </w:rPr>
      </w:pPr>
      <w:r w:rsidRPr="005C7084">
        <w:rPr>
          <w:b/>
          <w:bCs/>
        </w:rPr>
        <w:lastRenderedPageBreak/>
        <w:t xml:space="preserve">Afterslip </w:t>
      </w:r>
    </w:p>
    <w:p w14:paraId="3D97EE11" w14:textId="77777777" w:rsidR="00752973" w:rsidRDefault="00752973" w:rsidP="00FF2627">
      <w:pPr>
        <w:rPr>
          <w:b/>
          <w:bCs/>
        </w:rPr>
      </w:pPr>
    </w:p>
    <w:p w14:paraId="3066C331" w14:textId="0CC755EA" w:rsidR="00D65A1A" w:rsidRDefault="00D65A1A" w:rsidP="00FF2627">
      <w:r>
        <w:t xml:space="preserve">For most of the sites no significant afterslip occurred.  </w:t>
      </w:r>
      <w:r w:rsidR="00BD6B0D">
        <w:t>Instead of conventional afterslip, which consists of continued slip at a decaying rate, at</w:t>
      </w:r>
      <w:r w:rsidR="00A07DA2">
        <w:t xml:space="preserve"> locations that slipped 2-5 m </w:t>
      </w:r>
      <w:r>
        <w:t xml:space="preserve">the massive </w:t>
      </w:r>
      <w:r w:rsidR="00A07DA2">
        <w:t>open f</w:t>
      </w:r>
      <w:r>
        <w:t>issure</w:t>
      </w:r>
      <w:r w:rsidR="00A07DA2">
        <w:t>s</w:t>
      </w:r>
      <w:r w:rsidR="006E645E">
        <w:t xml:space="preserve"> (</w:t>
      </w:r>
      <w:r>
        <w:t xml:space="preserve">push-ups </w:t>
      </w:r>
      <w:r w:rsidR="00A07DA2">
        <w:t>or</w:t>
      </w:r>
      <w:r>
        <w:t xml:space="preserve"> </w:t>
      </w:r>
      <w:r w:rsidR="005C7084">
        <w:t>"</w:t>
      </w:r>
      <w:r>
        <w:t>pull</w:t>
      </w:r>
      <w:r w:rsidR="005B2549">
        <w:t>-</w:t>
      </w:r>
      <w:proofErr w:type="spellStart"/>
      <w:r w:rsidR="005C7084">
        <w:t>a</w:t>
      </w:r>
      <w:r>
        <w:t>parts</w:t>
      </w:r>
      <w:proofErr w:type="spellEnd"/>
      <w:r w:rsidR="005C7084">
        <w:t>"</w:t>
      </w:r>
      <w:r w:rsidR="006E645E">
        <w:t xml:space="preserve">) </w:t>
      </w:r>
      <w:r>
        <w:t xml:space="preserve">along the fault </w:t>
      </w:r>
      <w:r w:rsidR="00A07DA2">
        <w:t xml:space="preserve">were measured to be </w:t>
      </w:r>
      <w:r w:rsidR="00BD6B0D">
        <w:t xml:space="preserve">apparently </w:t>
      </w:r>
      <w:r w:rsidR="00A07DA2">
        <w:t>collapsing in response to local potential energy (gravity-slumping) or by lateral flow during or following heavy rain and saturation and weakening of surface soils.  These signal</w:t>
      </w:r>
      <w:r w:rsidR="005C7084">
        <w:t>s</w:t>
      </w:r>
      <w:r w:rsidR="00A07DA2">
        <w:t xml:space="preserve"> were mostly contractional in nature</w:t>
      </w:r>
      <w:r w:rsidR="005E513F">
        <w:t>, and at these sites</w:t>
      </w:r>
      <w:r w:rsidR="00A571F1">
        <w:t>,</w:t>
      </w:r>
      <w:r w:rsidR="005E513F">
        <w:t xml:space="preserve"> measurements have largely been discontinued.</w:t>
      </w:r>
    </w:p>
    <w:p w14:paraId="19DC5BAE" w14:textId="2E7E471C" w:rsidR="00FF2627" w:rsidRDefault="00A07DA2" w:rsidP="005C7084">
      <w:pPr>
        <w:ind w:firstLine="720"/>
      </w:pPr>
      <w:r>
        <w:t xml:space="preserve">In contrast to these </w:t>
      </w:r>
      <w:r w:rsidR="00513329">
        <w:t xml:space="preserve">local </w:t>
      </w:r>
      <w:r w:rsidR="000E23B2">
        <w:t>fault-zone</w:t>
      </w:r>
      <w:r w:rsidR="005E18D1">
        <w:t>-</w:t>
      </w:r>
      <w:r w:rsidR="00513329">
        <w:t>collapse</w:t>
      </w:r>
      <w:r>
        <w:t xml:space="preserve"> signals, afterslip continues at three </w:t>
      </w:r>
      <w:r w:rsidR="00513329">
        <w:t>locations</w:t>
      </w:r>
      <w:r>
        <w:t>. The east</w:t>
      </w:r>
      <w:r w:rsidR="005C7084">
        <w:t>ern</w:t>
      </w:r>
      <w:r>
        <w:t xml:space="preserve"> and western tip</w:t>
      </w:r>
      <w:r w:rsidR="00B51EEE">
        <w:t>s</w:t>
      </w:r>
      <w:r>
        <w:t xml:space="preserve"> of the second rupture </w:t>
      </w:r>
      <w:r w:rsidR="001302DB">
        <w:t>(</w:t>
      </w:r>
      <w:r w:rsidR="00C301FE">
        <w:t>creepmeter</w:t>
      </w:r>
      <w:r w:rsidR="005E18D1">
        <w:t xml:space="preserve">s at </w:t>
      </w:r>
      <w:r w:rsidR="001302DB">
        <w:t>Gozene and Goksun)</w:t>
      </w:r>
      <w:r w:rsidR="005C7084">
        <w:t xml:space="preserve"> </w:t>
      </w:r>
      <w:r>
        <w:t>and the eastern end of the f</w:t>
      </w:r>
      <w:r w:rsidR="00B51EEE">
        <w:t>ir</w:t>
      </w:r>
      <w:r>
        <w:t xml:space="preserve">st </w:t>
      </w:r>
      <w:r w:rsidR="00C301FE">
        <w:t>rupture</w:t>
      </w:r>
      <w:r w:rsidR="005E18D1">
        <w:t xml:space="preserve">. </w:t>
      </w:r>
      <w:r w:rsidR="00BD6B0D">
        <w:t xml:space="preserve">Few measurements were made at the SW end of the first mainshock.  </w:t>
      </w:r>
      <w:r w:rsidR="005E18D1">
        <w:t>Th</w:t>
      </w:r>
      <w:r w:rsidR="00BD6B0D">
        <w:t>e</w:t>
      </w:r>
      <w:r w:rsidR="005E18D1">
        <w:t xml:space="preserve"> eastern end </w:t>
      </w:r>
      <w:r w:rsidR="00BD6B0D">
        <w:t>of the first mainshock terminates in a</w:t>
      </w:r>
      <w:r w:rsidR="005E18D1">
        <w:t xml:space="preserve"> </w:t>
      </w:r>
      <w:r w:rsidR="001302DB">
        <w:t xml:space="preserve">creeping segment of the fault known as the Puturge gap </w:t>
      </w:r>
      <w:r w:rsidR="009261FE">
        <w:t xml:space="preserve">that separates the Sivrice 2020 and </w:t>
      </w:r>
      <w:r w:rsidR="00131399">
        <w:t>Kahramanmaraş</w:t>
      </w:r>
      <w:r w:rsidR="009261FE">
        <w:t xml:space="preserve"> </w:t>
      </w:r>
      <w:r w:rsidR="005E513F">
        <w:t xml:space="preserve">2023 </w:t>
      </w:r>
      <w:r w:rsidR="009261FE">
        <w:t xml:space="preserve">ruptures </w:t>
      </w:r>
      <w:r w:rsidR="004E5D01">
        <w:t>(</w:t>
      </w:r>
      <w:r w:rsidR="00C301FE">
        <w:t xml:space="preserve">creepmeters at </w:t>
      </w:r>
      <w:r w:rsidR="004E5D01">
        <w:t>Tasmis, Sivrice</w:t>
      </w:r>
      <w:r w:rsidR="009261FE">
        <w:t xml:space="preserve">, </w:t>
      </w:r>
      <w:r w:rsidR="00241A6A">
        <w:t>Yazica</w:t>
      </w:r>
      <w:r w:rsidR="00C301FE">
        <w:t xml:space="preserve"> east and </w:t>
      </w:r>
      <w:r w:rsidR="001C7EE5">
        <w:t>Ya</w:t>
      </w:r>
      <w:r w:rsidR="005B2549">
        <w:t>z</w:t>
      </w:r>
      <w:r w:rsidR="001C7EE5">
        <w:t xml:space="preserve">ica </w:t>
      </w:r>
      <w:r w:rsidR="00C301FE">
        <w:t>west</w:t>
      </w:r>
      <w:r w:rsidR="00241A6A">
        <w:t xml:space="preserve">).  </w:t>
      </w:r>
      <w:r w:rsidR="00C95A95">
        <w:t xml:space="preserve">The </w:t>
      </w:r>
      <w:r w:rsidR="00B4006C">
        <w:t xml:space="preserve">creepmeter at </w:t>
      </w:r>
      <w:proofErr w:type="spellStart"/>
      <w:r w:rsidR="00B4006C">
        <w:t>Ormanici</w:t>
      </w:r>
      <w:proofErr w:type="spellEnd"/>
      <w:r w:rsidR="00B4006C">
        <w:t xml:space="preserve"> was accidently destroyed by ploughing in 2024.</w:t>
      </w:r>
    </w:p>
    <w:p w14:paraId="6C02A274" w14:textId="77777777" w:rsidR="005C3808" w:rsidRDefault="005C3808" w:rsidP="005C7084">
      <w:pPr>
        <w:ind w:firstLine="720"/>
      </w:pPr>
    </w:p>
    <w:p w14:paraId="1294CD96" w14:textId="0CE6D497" w:rsidR="005C3808" w:rsidRPr="003C3C49" w:rsidRDefault="005C3808" w:rsidP="005C3808">
      <w:pPr>
        <w:rPr>
          <w:b/>
          <w:bCs/>
          <w:color w:val="FF0000"/>
        </w:rPr>
      </w:pPr>
      <w:r w:rsidRPr="003C3C49">
        <w:rPr>
          <w:b/>
          <w:bCs/>
          <w:color w:val="FF0000"/>
        </w:rPr>
        <w:t>Calibration</w:t>
      </w:r>
    </w:p>
    <w:p w14:paraId="193347B7" w14:textId="77777777" w:rsidR="00A242A5" w:rsidRDefault="00A242A5" w:rsidP="005C3808">
      <w:pPr>
        <w:rPr>
          <w:color w:val="FF0000"/>
        </w:rPr>
      </w:pPr>
    </w:p>
    <w:p w14:paraId="0A3FCF01" w14:textId="2C216BDA" w:rsidR="005B2549" w:rsidRDefault="005C3808" w:rsidP="005C3808">
      <w:pPr>
        <w:rPr>
          <w:color w:val="FF0000"/>
        </w:rPr>
      </w:pPr>
      <w:r w:rsidRPr="003C3C49">
        <w:rPr>
          <w:color w:val="FF0000"/>
        </w:rPr>
        <w:t xml:space="preserve">// </w:t>
      </w:r>
      <w:r w:rsidR="00526A24" w:rsidRPr="003C3C49">
        <w:rPr>
          <w:color w:val="FF0000"/>
        </w:rPr>
        <w:t xml:space="preserve">the data are stored as </w:t>
      </w:r>
      <w:r w:rsidR="003C3C49" w:rsidRPr="003C3C49">
        <w:rPr>
          <w:color w:val="FF0000"/>
        </w:rPr>
        <w:t>extension</w:t>
      </w:r>
      <w:r w:rsidR="00C321BD" w:rsidRPr="003C3C49">
        <w:rPr>
          <w:color w:val="FF0000"/>
        </w:rPr>
        <w:t xml:space="preserve"> in mm</w:t>
      </w:r>
      <w:r w:rsidR="003C3C49" w:rsidRPr="003C3C49">
        <w:rPr>
          <w:color w:val="FF0000"/>
        </w:rPr>
        <w:t xml:space="preserve"> with a nominal full-scale wrap of 10 mm</w:t>
      </w:r>
      <w:r w:rsidR="00C321BD" w:rsidRPr="003C3C49">
        <w:rPr>
          <w:color w:val="FF0000"/>
        </w:rPr>
        <w:t>.  To convert to</w:t>
      </w:r>
      <w:r w:rsidR="00576558" w:rsidRPr="003C3C49">
        <w:rPr>
          <w:color w:val="FF0000"/>
        </w:rPr>
        <w:t xml:space="preserve"> sinistral slip</w:t>
      </w:r>
      <w:r w:rsidR="003C3C49" w:rsidRPr="003C3C49">
        <w:rPr>
          <w:color w:val="FF0000"/>
        </w:rPr>
        <w:t>,</w:t>
      </w:r>
      <w:r w:rsidR="00C321BD" w:rsidRPr="003C3C49">
        <w:rPr>
          <w:color w:val="FF0000"/>
        </w:rPr>
        <w:t xml:space="preserve"> multiply the listed values by 1.218 (</w:t>
      </w:r>
      <w:r w:rsidR="003C3C49" w:rsidRPr="003C3C49">
        <w:rPr>
          <w:color w:val="FF0000"/>
        </w:rPr>
        <w:t xml:space="preserve">this </w:t>
      </w:r>
      <w:r w:rsidR="00C321BD" w:rsidRPr="003C3C49">
        <w:rPr>
          <w:color w:val="FF0000"/>
        </w:rPr>
        <w:t xml:space="preserve">includes </w:t>
      </w:r>
      <w:r w:rsidR="003C3C49" w:rsidRPr="003C3C49">
        <w:rPr>
          <w:color w:val="FF0000"/>
        </w:rPr>
        <w:t xml:space="preserve">an instrument </w:t>
      </w:r>
      <w:r w:rsidR="00C321BD" w:rsidRPr="003C3C49">
        <w:rPr>
          <w:color w:val="FF0000"/>
        </w:rPr>
        <w:t xml:space="preserve">calibration and </w:t>
      </w:r>
      <w:r w:rsidR="003C3C49" w:rsidRPr="003C3C49">
        <w:rPr>
          <w:color w:val="FF0000"/>
        </w:rPr>
        <w:t xml:space="preserve">a 30° </w:t>
      </w:r>
      <w:r w:rsidR="00C321BD" w:rsidRPr="003C3C49">
        <w:rPr>
          <w:color w:val="FF0000"/>
        </w:rPr>
        <w:t>obliquity correction).</w:t>
      </w:r>
      <w:r w:rsidR="003C3C49" w:rsidRPr="003C3C49">
        <w:rPr>
          <w:color w:val="FF0000"/>
        </w:rPr>
        <w:t xml:space="preserve">  </w:t>
      </w:r>
    </w:p>
    <w:p w14:paraId="6EBB5421" w14:textId="77777777" w:rsidR="005B2549" w:rsidRDefault="005B2549" w:rsidP="005C3808">
      <w:pPr>
        <w:rPr>
          <w:color w:val="FF0000"/>
        </w:rPr>
      </w:pPr>
    </w:p>
    <w:p w14:paraId="455BF75C" w14:textId="7B11CB20" w:rsidR="005C3808" w:rsidRDefault="005B2549" w:rsidP="005C3808">
      <w:pPr>
        <w:rPr>
          <w:color w:val="FF0000"/>
        </w:rPr>
      </w:pPr>
      <w:r>
        <w:rPr>
          <w:color w:val="FF0000"/>
        </w:rPr>
        <w:t xml:space="preserve">The reason for this correction is that although each sensor was calibrated for its voltage wrap threshold, a generic (10 mm) circumference for the 1/8" diameter measurement shaft was assigned to data loggers, ignoring the 30° </w:t>
      </w:r>
      <w:r w:rsidR="00A242A5">
        <w:rPr>
          <w:color w:val="FF0000"/>
        </w:rPr>
        <w:t>obliquity</w:t>
      </w:r>
      <w:r>
        <w:rPr>
          <w:color w:val="FF0000"/>
        </w:rPr>
        <w:t xml:space="preserve"> of the fault and its precise path around the measurement shaft. Subsequent experiments show that the value above provides an appropriate conversion of listed values to sinistral fault slip.</w:t>
      </w:r>
    </w:p>
    <w:p w14:paraId="4E1D2BAD" w14:textId="77777777" w:rsidR="005B2549" w:rsidRDefault="005B2549" w:rsidP="005C3808">
      <w:pPr>
        <w:rPr>
          <w:color w:val="FF0000"/>
        </w:rPr>
      </w:pPr>
    </w:p>
    <w:p w14:paraId="2D29F865" w14:textId="77234646" w:rsidR="005B2549" w:rsidRPr="003C3C49" w:rsidRDefault="005B2549" w:rsidP="005C3808">
      <w:pPr>
        <w:rPr>
          <w:b/>
          <w:bCs/>
          <w:color w:val="FF0000"/>
        </w:rPr>
      </w:pPr>
      <w:r>
        <w:rPr>
          <w:color w:val="FF0000"/>
        </w:rPr>
        <w:t xml:space="preserve">Typically, actual fault slip is always larger than </w:t>
      </w:r>
      <w:r w:rsidR="00730514">
        <w:rPr>
          <w:color w:val="FF0000"/>
        </w:rPr>
        <w:t>captured by the span of the creepmeter due to the finite width of the shear zone in surface materials above an active fault.</w:t>
      </w:r>
    </w:p>
    <w:p w14:paraId="7AE0A518" w14:textId="77777777" w:rsidR="0027301D" w:rsidRDefault="0027301D"/>
    <w:p w14:paraId="425600F7" w14:textId="77777777" w:rsidR="00E64AA0" w:rsidRDefault="00D02796" w:rsidP="0088428E">
      <w:r w:rsidRPr="007161CD">
        <w:rPr>
          <w:b/>
          <w:bCs/>
        </w:rPr>
        <w:t>Data Format:</w:t>
      </w:r>
      <w:r>
        <w:t xml:space="preserve"> </w:t>
      </w:r>
    </w:p>
    <w:p w14:paraId="1148E363" w14:textId="1F341386" w:rsidR="003D2712" w:rsidRDefault="006B21D0" w:rsidP="00E64AA0">
      <w:pPr>
        <w:ind w:firstLine="720"/>
      </w:pPr>
      <w:r>
        <w:t xml:space="preserve">Downloaded data inevitably include gaps between contiguous files, </w:t>
      </w:r>
      <w:r w:rsidR="000B0327">
        <w:t>e</w:t>
      </w:r>
      <w:r>
        <w:t>ither for a few minutes</w:t>
      </w:r>
      <w:r w:rsidR="00DF1990">
        <w:t xml:space="preserve"> associated with downloading</w:t>
      </w:r>
      <w:r>
        <w:t xml:space="preserve">, or </w:t>
      </w:r>
      <w:r w:rsidR="000B0327">
        <w:t>occasionally for long intervals if</w:t>
      </w:r>
      <w:r w:rsidR="00DF1990">
        <w:t xml:space="preserve">, for </w:t>
      </w:r>
      <w:r w:rsidR="00131399">
        <w:t>example, a</w:t>
      </w:r>
      <w:r w:rsidR="000B0327">
        <w:t xml:space="preserve"> power</w:t>
      </w:r>
      <w:r w:rsidR="00FC69D3">
        <w:t>-</w:t>
      </w:r>
      <w:r w:rsidR="000B0327">
        <w:t xml:space="preserve">supply malfunction occurred.  For this </w:t>
      </w:r>
      <w:r w:rsidR="00255687">
        <w:t>reason,</w:t>
      </w:r>
      <w:r w:rsidR="000B0327">
        <w:t xml:space="preserve"> each data point is </w:t>
      </w:r>
      <w:r w:rsidR="00DF1990">
        <w:t>assigned a time stamp</w:t>
      </w:r>
      <w:r>
        <w:t xml:space="preserve">. </w:t>
      </w:r>
      <w:r w:rsidR="0027301D">
        <w:t xml:space="preserve">Data </w:t>
      </w:r>
      <w:r w:rsidR="00576661">
        <w:t xml:space="preserve">are archived </w:t>
      </w:r>
      <w:r w:rsidR="009E2C6C">
        <w:t xml:space="preserve">as </w:t>
      </w:r>
      <w:r w:rsidR="00DF1990">
        <w:t>comma</w:t>
      </w:r>
      <w:r w:rsidR="003305A2">
        <w:t>-</w:t>
      </w:r>
      <w:r w:rsidR="00DF1990">
        <w:t>separated</w:t>
      </w:r>
      <w:r w:rsidR="003305A2">
        <w:t>-</w:t>
      </w:r>
      <w:r w:rsidR="009E2C6C">
        <w:t xml:space="preserve">text files using the long </w:t>
      </w:r>
      <w:r w:rsidR="00183098">
        <w:t>UTC (</w:t>
      </w:r>
      <w:r w:rsidR="00E21C26">
        <w:t>≈</w:t>
      </w:r>
      <w:r w:rsidR="00183098">
        <w:t xml:space="preserve">GMT) </w:t>
      </w:r>
      <w:r w:rsidR="009E2C6C">
        <w:t xml:space="preserve">date format </w:t>
      </w:r>
      <w:r w:rsidR="00B159EE">
        <w:t xml:space="preserve">MM/DD/YYYY </w:t>
      </w:r>
      <w:proofErr w:type="spellStart"/>
      <w:r w:rsidR="00B159EE">
        <w:t>hh:</w:t>
      </w:r>
      <w:proofErr w:type="gramStart"/>
      <w:r w:rsidR="00B159EE">
        <w:t>mm:ss</w:t>
      </w:r>
      <w:proofErr w:type="spellEnd"/>
      <w:r w:rsidR="00D907D5">
        <w:t>.</w:t>
      </w:r>
      <w:proofErr w:type="gramEnd"/>
      <w:r w:rsidR="00FC69D3">
        <w:t xml:space="preserve">   </w:t>
      </w:r>
      <w:r w:rsidR="00E64AA0">
        <w:t>Users should be aware that gaps in the data should be interpolated with intervening points, and where necessary corrected for unequal sampling, prior to spectral analysis or smoothing operations.</w:t>
      </w:r>
    </w:p>
    <w:p w14:paraId="76BEF476" w14:textId="77777777" w:rsidR="00B4262D" w:rsidRDefault="00B4262D" w:rsidP="0088428E"/>
    <w:p w14:paraId="285FE19F" w14:textId="77777777" w:rsidR="00E64AA0" w:rsidRDefault="005E10D2" w:rsidP="0088428E">
      <w:r w:rsidRPr="005E10D2">
        <w:rPr>
          <w:b/>
          <w:bCs/>
        </w:rPr>
        <w:t>Excel</w:t>
      </w:r>
      <w:r w:rsidR="004808C5">
        <w:rPr>
          <w:b/>
          <w:bCs/>
        </w:rPr>
        <w:t xml:space="preserve"> issues?</w:t>
      </w:r>
      <w:r>
        <w:t xml:space="preserve"> </w:t>
      </w:r>
    </w:p>
    <w:p w14:paraId="580ACA79" w14:textId="29B53931" w:rsidR="007E1EC7" w:rsidRDefault="003D2712" w:rsidP="00E64AA0">
      <w:pPr>
        <w:ind w:firstLine="720"/>
      </w:pPr>
      <w:r>
        <w:t xml:space="preserve">Current versions of Microsoft Excel will truncate files longer than 1 million lines. </w:t>
      </w:r>
      <w:r w:rsidR="004808C5">
        <w:t xml:space="preserve">Hence, </w:t>
      </w:r>
      <w:r>
        <w:t xml:space="preserve">these longer files should be opened in a text editor, </w:t>
      </w:r>
      <w:proofErr w:type="spellStart"/>
      <w:r w:rsidR="006F0A13">
        <w:t>Matlab</w:t>
      </w:r>
      <w:proofErr w:type="spellEnd"/>
      <w:r w:rsidR="006F0A13">
        <w:t xml:space="preserve"> </w:t>
      </w:r>
      <w:r>
        <w:t xml:space="preserve">or </w:t>
      </w:r>
      <w:proofErr w:type="spellStart"/>
      <w:r>
        <w:t>Wavemetrics</w:t>
      </w:r>
      <w:proofErr w:type="spellEnd"/>
      <w:r>
        <w:t xml:space="preserve"> Igor</w:t>
      </w:r>
      <w:r w:rsidR="00A242A5">
        <w:t xml:space="preserve"> (t</w:t>
      </w:r>
      <w:r w:rsidR="004808C5">
        <w:t xml:space="preserve">he </w:t>
      </w:r>
      <w:r w:rsidR="00A242A5">
        <w:t xml:space="preserve">latter program </w:t>
      </w:r>
      <w:r w:rsidR="006F0A13">
        <w:t xml:space="preserve">was </w:t>
      </w:r>
      <w:r w:rsidR="004808C5">
        <w:t>used to edit and compile incoming data</w:t>
      </w:r>
      <w:r w:rsidR="00A242A5">
        <w:t>)</w:t>
      </w:r>
      <w:r>
        <w:t xml:space="preserve">. </w:t>
      </w:r>
      <w:r w:rsidR="00B4262D">
        <w:t>A</w:t>
      </w:r>
      <w:r w:rsidR="004808C5">
        <w:t xml:space="preserve"> text editor can be used to </w:t>
      </w:r>
      <w:r w:rsidR="00C717D6">
        <w:t xml:space="preserve">segment the data into </w:t>
      </w:r>
      <w:r w:rsidR="006F0A13">
        <w:t>chunks fewer</w:t>
      </w:r>
      <w:r w:rsidR="00C717D6">
        <w:t xml:space="preserve"> than 1 million</w:t>
      </w:r>
      <w:r w:rsidR="006F0A13">
        <w:t xml:space="preserve"> lines</w:t>
      </w:r>
      <w:r w:rsidR="00BD6B0D">
        <w:t xml:space="preserve"> if excel is chosen to manipulate the data further. </w:t>
      </w:r>
      <w:r w:rsidR="00C717D6">
        <w:t xml:space="preserve"> </w:t>
      </w:r>
      <w:r w:rsidR="00DF1990">
        <w:t xml:space="preserve">If the data are opened in Microsoft </w:t>
      </w:r>
      <w:r w:rsidR="00E21C26">
        <w:t>E</w:t>
      </w:r>
      <w:r w:rsidR="00DF1990">
        <w:t>xcel th</w:t>
      </w:r>
      <w:r w:rsidR="004808C5">
        <w:t>e</w:t>
      </w:r>
      <w:r w:rsidR="00DF1990">
        <w:t xml:space="preserve"> long </w:t>
      </w:r>
      <w:r w:rsidR="004808C5">
        <w:t xml:space="preserve">date </w:t>
      </w:r>
      <w:r w:rsidR="00DF1990">
        <w:t>format is typically not displayed</w:t>
      </w:r>
      <w:r w:rsidR="00805EA6">
        <w:t xml:space="preserve"> unless the </w:t>
      </w:r>
      <w:r w:rsidR="00805EA6">
        <w:lastRenderedPageBreak/>
        <w:t xml:space="preserve">user </w:t>
      </w:r>
      <w:r w:rsidR="00D907D5">
        <w:t xml:space="preserve">manually </w:t>
      </w:r>
      <w:r w:rsidR="00805EA6">
        <w:t>assigns th</w:t>
      </w:r>
      <w:r w:rsidR="004808C5">
        <w:t>is</w:t>
      </w:r>
      <w:r w:rsidR="00805EA6">
        <w:t xml:space="preserve"> date format in the </w:t>
      </w:r>
      <w:r w:rsidR="00D907D5">
        <w:t>F</w:t>
      </w:r>
      <w:r w:rsidR="00805EA6">
        <w:t>ormat-&gt;</w:t>
      </w:r>
      <w:r w:rsidR="00D907D5">
        <w:t>C</w:t>
      </w:r>
      <w:r w:rsidR="00805EA6">
        <w:t xml:space="preserve">ustom </w:t>
      </w:r>
      <w:r w:rsidR="00D907D5">
        <w:t>menu</w:t>
      </w:r>
      <w:r w:rsidR="00255687">
        <w:t xml:space="preserve">, </w:t>
      </w:r>
      <w:r w:rsidR="00584472">
        <w:t>and then modif</w:t>
      </w:r>
      <w:r w:rsidR="003305A2">
        <w:t>ies</w:t>
      </w:r>
      <w:r w:rsidR="00584472">
        <w:t xml:space="preserve"> one of the provided formats </w:t>
      </w:r>
      <w:r w:rsidR="0088428E">
        <w:t>(e.g.</w:t>
      </w:r>
      <w:r w:rsidR="00D84CEB">
        <w:t xml:space="preserve"> </w:t>
      </w:r>
      <w:r w:rsidR="0088428E">
        <w:t xml:space="preserve">MM/DD/YY </w:t>
      </w:r>
      <w:proofErr w:type="spellStart"/>
      <w:r w:rsidR="0088428E">
        <w:t>hh:mm</w:t>
      </w:r>
      <w:proofErr w:type="spellEnd"/>
      <w:r w:rsidR="0088428E">
        <w:t xml:space="preserve">) to MM/DD/YYYY </w:t>
      </w:r>
      <w:proofErr w:type="spellStart"/>
      <w:r w:rsidR="0088428E">
        <w:t>hh:</w:t>
      </w:r>
      <w:proofErr w:type="gramStart"/>
      <w:r w:rsidR="0088428E">
        <w:t>mm:ss</w:t>
      </w:r>
      <w:proofErr w:type="spellEnd"/>
      <w:r w:rsidR="0088428E">
        <w:t>.</w:t>
      </w:r>
      <w:proofErr w:type="gramEnd"/>
      <w:r w:rsidR="00D02796">
        <w:t xml:space="preserve"> For most users this will not be necessary, and the </w:t>
      </w:r>
      <w:r w:rsidR="007E1EC7">
        <w:t xml:space="preserve">automatically </w:t>
      </w:r>
      <w:r w:rsidR="00D02796">
        <w:t>displayed format should be sufficient.</w:t>
      </w:r>
      <w:r w:rsidR="00E21C26">
        <w:t xml:space="preserve">  </w:t>
      </w:r>
    </w:p>
    <w:p w14:paraId="452C8C1E" w14:textId="77777777" w:rsidR="00B4262D" w:rsidRDefault="00B4262D" w:rsidP="0088428E"/>
    <w:p w14:paraId="295DB989" w14:textId="1E0CE3CB" w:rsidR="00B4262D" w:rsidRDefault="00B4262D" w:rsidP="0088428E">
      <w:pPr>
        <w:rPr>
          <w:b/>
          <w:bCs/>
        </w:rPr>
      </w:pPr>
      <w:r w:rsidRPr="00B4262D">
        <w:rPr>
          <w:b/>
          <w:bCs/>
        </w:rPr>
        <w:t>Igor files</w:t>
      </w:r>
      <w:r>
        <w:rPr>
          <w:b/>
          <w:bCs/>
        </w:rPr>
        <w:t xml:space="preserve"> </w:t>
      </w:r>
    </w:p>
    <w:p w14:paraId="738F8E9B" w14:textId="78684BFF" w:rsidR="00B4262D" w:rsidRPr="00B4262D" w:rsidRDefault="00B4262D" w:rsidP="00E64AA0">
      <w:pPr>
        <w:ind w:firstLine="720"/>
      </w:pPr>
      <w:r>
        <w:t>S</w:t>
      </w:r>
      <w:r w:rsidRPr="00B4262D">
        <w:t xml:space="preserve">ome users </w:t>
      </w:r>
      <w:r w:rsidR="00AD339F">
        <w:t xml:space="preserve">will find </w:t>
      </w:r>
      <w:r w:rsidR="00FF0FC7">
        <w:t>the</w:t>
      </w:r>
      <w:r>
        <w:t xml:space="preserve"> </w:t>
      </w:r>
      <w:proofErr w:type="spellStart"/>
      <w:r>
        <w:t>Wavemetrics</w:t>
      </w:r>
      <w:proofErr w:type="spellEnd"/>
      <w:r w:rsidR="00FF0FC7">
        <w:t xml:space="preserve"> time</w:t>
      </w:r>
      <w:r w:rsidR="00AD339F">
        <w:t>-</w:t>
      </w:r>
      <w:r w:rsidR="00FF0FC7">
        <w:t>series analysis program</w:t>
      </w:r>
      <w:r>
        <w:t xml:space="preserve"> </w:t>
      </w:r>
      <w:r w:rsidR="00FF0FC7">
        <w:t>"</w:t>
      </w:r>
      <w:r>
        <w:t>Igor</w:t>
      </w:r>
      <w:r w:rsidR="00FF0FC7">
        <w:t xml:space="preserve">" </w:t>
      </w:r>
      <w:r w:rsidR="00AD339F">
        <w:t>to</w:t>
      </w:r>
      <w:r>
        <w:t xml:space="preserve"> be a more</w:t>
      </w:r>
      <w:r w:rsidRPr="00B4262D">
        <w:t xml:space="preserve"> convenient </w:t>
      </w:r>
      <w:r>
        <w:t xml:space="preserve">tool to manipulate and edit creep data.  Each site folder includes an Igor file </w:t>
      </w:r>
      <w:r w:rsidR="00FF0FC7">
        <w:t>(</w:t>
      </w:r>
      <w:r>
        <w:t>.</w:t>
      </w:r>
      <w:proofErr w:type="spellStart"/>
      <w:r>
        <w:t>pxp</w:t>
      </w:r>
      <w:proofErr w:type="spellEnd"/>
      <w:r>
        <w:t xml:space="preserve">), a plot (.pdf) </w:t>
      </w:r>
      <w:r w:rsidR="00AD339F">
        <w:t>in addition to</w:t>
      </w:r>
      <w:r>
        <w:t xml:space="preserve"> </w:t>
      </w:r>
      <w:r w:rsidR="00AD339F">
        <w:t xml:space="preserve">a </w:t>
      </w:r>
      <w:r>
        <w:t>comma</w:t>
      </w:r>
      <w:r w:rsidR="00AD339F">
        <w:t>-</w:t>
      </w:r>
      <w:r>
        <w:t>separated text file of the data (.txt)</w:t>
      </w:r>
      <w:r w:rsidR="00FF0FC7">
        <w:t>.  In some cases</w:t>
      </w:r>
      <w:r w:rsidR="00AD339F">
        <w:t>,</w:t>
      </w:r>
      <w:r w:rsidR="00FF0FC7">
        <w:t xml:space="preserve"> a "</w:t>
      </w:r>
      <w:r w:rsidR="00A242A5">
        <w:t xml:space="preserve">narrative </w:t>
      </w:r>
      <w:r w:rsidR="00FF0FC7">
        <w:t>word document (.doc) explains site information and operational or editing details.</w:t>
      </w:r>
    </w:p>
    <w:p w14:paraId="3E05DB94" w14:textId="77777777" w:rsidR="0002068F" w:rsidRDefault="0002068F" w:rsidP="0088428E"/>
    <w:p w14:paraId="226F7A58" w14:textId="77777777" w:rsidR="00E64AA0" w:rsidRDefault="005E18D1">
      <w:pPr>
        <w:rPr>
          <w:b/>
          <w:bCs/>
        </w:rPr>
      </w:pPr>
      <w:r>
        <w:rPr>
          <w:b/>
          <w:bCs/>
        </w:rPr>
        <w:t>Filling</w:t>
      </w:r>
      <w:r w:rsidR="00F52F22" w:rsidRPr="00F52F22">
        <w:rPr>
          <w:b/>
          <w:bCs/>
        </w:rPr>
        <w:t xml:space="preserve"> gaps in the data</w:t>
      </w:r>
      <w:r w:rsidR="001736F2">
        <w:rPr>
          <w:b/>
          <w:bCs/>
        </w:rPr>
        <w:t>.</w:t>
      </w:r>
      <w:r w:rsidR="00F52F22">
        <w:rPr>
          <w:b/>
          <w:bCs/>
        </w:rPr>
        <w:t xml:space="preserve">  </w:t>
      </w:r>
    </w:p>
    <w:p w14:paraId="1A66F954" w14:textId="7A54CDFE" w:rsidR="00DF1990" w:rsidRDefault="00F52F22" w:rsidP="00E64AA0">
      <w:pPr>
        <w:ind w:firstLine="720"/>
      </w:pPr>
      <w:r>
        <w:t xml:space="preserve">Most gaps </w:t>
      </w:r>
      <w:r w:rsidR="00BD6B0D">
        <w:t>persist for</w:t>
      </w:r>
      <w:r w:rsidR="00C95A95">
        <w:t xml:space="preserve"> fewer than several</w:t>
      </w:r>
      <w:r>
        <w:t xml:space="preserve"> minutes</w:t>
      </w:r>
      <w:r w:rsidR="00BD6B0D">
        <w:t xml:space="preserve"> and arise from the time taken to download and lau</w:t>
      </w:r>
      <w:r w:rsidR="00A242A5">
        <w:t>n</w:t>
      </w:r>
      <w:r w:rsidR="00BD6B0D">
        <w:t>ch manual data loggers</w:t>
      </w:r>
      <w:r w:rsidR="00606C17">
        <w:t>.</w:t>
      </w:r>
      <w:r w:rsidR="005E10D2">
        <w:t xml:space="preserve">  </w:t>
      </w:r>
      <w:r w:rsidR="0059719C">
        <w:t>However, i</w:t>
      </w:r>
      <w:r w:rsidR="005E10D2">
        <w:t xml:space="preserve">n a few </w:t>
      </w:r>
      <w:r w:rsidR="0059719C">
        <w:t>cases</w:t>
      </w:r>
      <w:r w:rsidR="005E10D2">
        <w:t xml:space="preserve"> a</w:t>
      </w:r>
      <w:r w:rsidR="0059719C">
        <w:t xml:space="preserve"> several-week </w:t>
      </w:r>
      <w:r w:rsidR="005E10D2">
        <w:t xml:space="preserve">segment of data </w:t>
      </w:r>
      <w:r w:rsidR="00140E9C">
        <w:t xml:space="preserve">was lost due to </w:t>
      </w:r>
      <w:r w:rsidR="00046FAA">
        <w:t xml:space="preserve">a </w:t>
      </w:r>
      <w:r w:rsidR="00140E9C">
        <w:t>faulty battery pack</w:t>
      </w:r>
      <w:r w:rsidR="00046FAA">
        <w:t xml:space="preserve">, or because data were overwritten </w:t>
      </w:r>
      <w:r w:rsidR="00FD170D">
        <w:t>whe</w:t>
      </w:r>
      <w:r w:rsidR="00EF659A">
        <w:t>n</w:t>
      </w:r>
      <w:r w:rsidR="00046FAA">
        <w:t xml:space="preserve"> a </w:t>
      </w:r>
      <w:r w:rsidR="004B18B9">
        <w:t xml:space="preserve">data retrieval </w:t>
      </w:r>
      <w:r w:rsidR="00CD351B">
        <w:t xml:space="preserve">visit was not possible before </w:t>
      </w:r>
      <w:r w:rsidR="00593BE8">
        <w:t xml:space="preserve">data-logger </w:t>
      </w:r>
      <w:r w:rsidR="00CD351B">
        <w:t>memory filled.  For short gaps</w:t>
      </w:r>
      <w:r w:rsidR="001736F2">
        <w:t xml:space="preserve">, </w:t>
      </w:r>
      <w:r w:rsidR="00CD351B">
        <w:t xml:space="preserve">no datum loss </w:t>
      </w:r>
      <w:r w:rsidR="008F4FCE">
        <w:t>occurs,</w:t>
      </w:r>
      <w:r w:rsidR="004B18B9">
        <w:t xml:space="preserve"> and </w:t>
      </w:r>
      <w:r w:rsidR="00B64344">
        <w:t xml:space="preserve">missing data </w:t>
      </w:r>
      <w:r w:rsidR="004B18B9">
        <w:t>can be interpolated as a straight line between the two segments</w:t>
      </w:r>
      <w:r w:rsidR="00CD351B">
        <w:t xml:space="preserve">.  </w:t>
      </w:r>
      <w:r w:rsidR="008A4B22">
        <w:t>For large gaps it is possible that an unrecorded wrap (</w:t>
      </w:r>
      <w:r w:rsidR="00EF659A">
        <w:t>equivalent to a GPS</w:t>
      </w:r>
      <w:r w:rsidR="008A4B22">
        <w:t xml:space="preserve"> cycle</w:t>
      </w:r>
      <w:r w:rsidR="00BA0295">
        <w:t>-</w:t>
      </w:r>
      <w:r w:rsidR="008A4B22">
        <w:t xml:space="preserve">slip) </w:t>
      </w:r>
      <w:r w:rsidR="001736F2">
        <w:t xml:space="preserve">may have </w:t>
      </w:r>
      <w:r w:rsidR="00B64344">
        <w:t>occurred, with</w:t>
      </w:r>
      <w:r w:rsidR="008A4B22">
        <w:t xml:space="preserve"> a </w:t>
      </w:r>
      <w:r w:rsidR="001736F2">
        <w:t xml:space="preserve">consequent </w:t>
      </w:r>
      <w:r w:rsidR="008A4B22">
        <w:t>±10 mm ambiguity in cumulative slip</w:t>
      </w:r>
      <w:r w:rsidR="005E18D1">
        <w:t xml:space="preserve"> (the precise wrap is instrument-specific).</w:t>
      </w:r>
      <w:r w:rsidR="00A54822">
        <w:t xml:space="preserve">  </w:t>
      </w:r>
      <w:r w:rsidR="001736F2">
        <w:t>Such gaps occur at Goksun in 2023 and Sivrice in 2020.</w:t>
      </w:r>
    </w:p>
    <w:p w14:paraId="28C5AF00" w14:textId="77777777" w:rsidR="00CC003D" w:rsidRDefault="00CC003D"/>
    <w:p w14:paraId="5C4F3319" w14:textId="3BBF4C73" w:rsidR="00CC003D" w:rsidRPr="00CC003D" w:rsidRDefault="00943A9A">
      <w:pPr>
        <w:rPr>
          <w:b/>
          <w:bCs/>
        </w:rPr>
      </w:pPr>
      <w:r>
        <w:rPr>
          <w:b/>
          <w:bCs/>
        </w:rPr>
        <w:t xml:space="preserve">Occasional </w:t>
      </w:r>
      <w:r w:rsidR="00E9014F">
        <w:rPr>
          <w:b/>
          <w:bCs/>
        </w:rPr>
        <w:t>severe editing</w:t>
      </w:r>
      <w:r w:rsidR="00FD4DF9">
        <w:rPr>
          <w:b/>
          <w:bCs/>
        </w:rPr>
        <w:t>:</w:t>
      </w:r>
      <w:r w:rsidR="00CC003D">
        <w:rPr>
          <w:b/>
          <w:bCs/>
        </w:rPr>
        <w:t xml:space="preserve"> n</w:t>
      </w:r>
      <w:r w:rsidR="00CC003D" w:rsidRPr="00CC003D">
        <w:rPr>
          <w:b/>
          <w:bCs/>
        </w:rPr>
        <w:t xml:space="preserve">oise </w:t>
      </w:r>
      <w:r w:rsidR="00CC003D">
        <w:rPr>
          <w:b/>
          <w:bCs/>
        </w:rPr>
        <w:t xml:space="preserve">suppression </w:t>
      </w:r>
      <w:r w:rsidR="00CC003D" w:rsidRPr="00CC003D">
        <w:rPr>
          <w:b/>
          <w:bCs/>
        </w:rPr>
        <w:t>in the recorded data</w:t>
      </w:r>
    </w:p>
    <w:p w14:paraId="1F809657" w14:textId="19B070B0" w:rsidR="00CC003D" w:rsidRDefault="00CC003D" w:rsidP="00E64AA0">
      <w:pPr>
        <w:ind w:firstLine="720"/>
      </w:pPr>
      <w:r>
        <w:t>A number of sites recorded extended periods of noisy data (</w:t>
      </w:r>
      <w:r w:rsidR="00BD6B0D">
        <w:t>attributable t</w:t>
      </w:r>
      <w:r>
        <w:t>o poor battery D-cell contacts in high humidity environments underground). Noise in such cases t</w:t>
      </w:r>
      <w:r w:rsidR="00A571F1">
        <w:t>akes</w:t>
      </w:r>
      <w:r>
        <w:t xml:space="preserve"> the form of prolonged periods </w:t>
      </w:r>
      <w:r w:rsidR="00FD4DF9">
        <w:t xml:space="preserve">(several days) </w:t>
      </w:r>
      <w:r>
        <w:t>of intermittent zero values</w:t>
      </w:r>
      <w:r w:rsidR="00593BE8">
        <w:t xml:space="preserve"> interspersed with true values</w:t>
      </w:r>
      <w:r>
        <w:t xml:space="preserve">.  In </w:t>
      </w:r>
      <w:r w:rsidR="00FD4DF9">
        <w:t>these</w:t>
      </w:r>
      <w:r>
        <w:t xml:space="preserve"> case</w:t>
      </w:r>
      <w:r w:rsidR="00FD4DF9">
        <w:t>s</w:t>
      </w:r>
      <w:r w:rsidR="003C3C49">
        <w:t>,</w:t>
      </w:r>
      <w:r>
        <w:t xml:space="preserve"> the envelope </w:t>
      </w:r>
      <w:r w:rsidR="00FD4DF9">
        <w:t xml:space="preserve">of maximum </w:t>
      </w:r>
      <w:r w:rsidR="00E920A1">
        <w:t xml:space="preserve">values </w:t>
      </w:r>
      <w:r>
        <w:t xml:space="preserve">was </w:t>
      </w:r>
      <w:r w:rsidR="00FD4DF9">
        <w:t>est</w:t>
      </w:r>
      <w:r w:rsidR="00E920A1">
        <w:t>i</w:t>
      </w:r>
      <w:r w:rsidR="00FD4DF9">
        <w:t>mated</w:t>
      </w:r>
      <w:r>
        <w:t xml:space="preserve"> using a maximum filter with a </w:t>
      </w:r>
      <w:r w:rsidR="00E920A1">
        <w:t>sampling</w:t>
      </w:r>
      <w:r>
        <w:t xml:space="preserve"> aperture of </w:t>
      </w:r>
      <w:r w:rsidR="00F87B8D">
        <w:t>1 hour (60 points) to 1</w:t>
      </w:r>
      <w:r>
        <w:t xml:space="preserve"> day (1440 points). </w:t>
      </w:r>
      <w:r w:rsidR="003C3C49">
        <w:t xml:space="preserve">Since the maximum filter adopts the maximum value in the chosen sampling interval it yields data </w:t>
      </w:r>
      <w:r w:rsidR="00BD6B0D">
        <w:t>manifest</w:t>
      </w:r>
      <w:r w:rsidR="003C3C49">
        <w:t xml:space="preserve"> as a series of steps.  To provide more realistic estimates of the contaminated data, the resulting time series are interpolated using a smoothing spline to obtain an approximation to uncontaminated data. </w:t>
      </w:r>
      <w:r>
        <w:t xml:space="preserve"> The</w:t>
      </w:r>
      <w:r w:rsidR="00FD4DF9">
        <w:t xml:space="preserve">se </w:t>
      </w:r>
      <w:r w:rsidR="00593BE8">
        <w:t>interpolated</w:t>
      </w:r>
      <w:r w:rsidR="00FD4DF9">
        <w:t xml:space="preserve"> data were used to replace noisy data. </w:t>
      </w:r>
    </w:p>
    <w:p w14:paraId="27B5C945" w14:textId="77777777" w:rsidR="008F3E01" w:rsidRDefault="008F3E01"/>
    <w:p w14:paraId="6A3C9CA6" w14:textId="08DFDD0F" w:rsidR="00EF512E" w:rsidRPr="00F23D57" w:rsidRDefault="00652475" w:rsidP="00EF512E">
      <w:pPr>
        <w:rPr>
          <w:i/>
          <w:iCs/>
        </w:rPr>
      </w:pPr>
      <w:r>
        <w:rPr>
          <w:i/>
          <w:iCs/>
        </w:rPr>
        <w:t xml:space="preserve">Table 1 </w:t>
      </w:r>
      <w:r w:rsidR="00EF512E" w:rsidRPr="00F23D57">
        <w:rPr>
          <w:i/>
          <w:iCs/>
        </w:rPr>
        <w:t xml:space="preserve">Coordinates of East Anatolian Fault creepmeters </w:t>
      </w:r>
    </w:p>
    <w:tbl>
      <w:tblPr>
        <w:tblW w:w="9107" w:type="dxa"/>
        <w:tblLayout w:type="fixed"/>
        <w:tblLook w:val="04A0" w:firstRow="1" w:lastRow="0" w:firstColumn="1" w:lastColumn="0" w:noHBand="0" w:noVBand="1"/>
      </w:tblPr>
      <w:tblGrid>
        <w:gridCol w:w="1890"/>
        <w:gridCol w:w="1350"/>
        <w:gridCol w:w="1080"/>
        <w:gridCol w:w="1170"/>
        <w:gridCol w:w="900"/>
        <w:gridCol w:w="1080"/>
        <w:gridCol w:w="1637"/>
      </w:tblGrid>
      <w:tr w:rsidR="0087630F" w:rsidRPr="00F23D57" w14:paraId="5A35AC85" w14:textId="77777777" w:rsidTr="0087630F">
        <w:trPr>
          <w:trHeight w:val="317"/>
          <w:tblHeader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271C2" w14:textId="77777777" w:rsidR="00EF512E" w:rsidRPr="00F23D57" w:rsidRDefault="00EF512E" w:rsidP="008F5C6C">
            <w:pPr>
              <w:ind w:right="-540"/>
              <w:jc w:val="both"/>
              <w:rPr>
                <w:i/>
                <w:iCs/>
                <w:color w:val="000000" w:themeColor="text1"/>
              </w:rPr>
            </w:pPr>
            <w:r w:rsidRPr="00F23D57">
              <w:rPr>
                <w:i/>
                <w:iCs/>
                <w:color w:val="000000" w:themeColor="text1"/>
              </w:rPr>
              <w:t>Location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2F712" w14:textId="5420A843" w:rsidR="00EF512E" w:rsidRPr="00F23D57" w:rsidRDefault="00DF710E" w:rsidP="008F5C6C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Lines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D2DFA" w14:textId="77777777" w:rsidR="00EF512E" w:rsidRPr="00F23D57" w:rsidRDefault="00EF512E" w:rsidP="008F5C6C">
            <w:pPr>
              <w:rPr>
                <w:i/>
                <w:iCs/>
                <w:color w:val="000000" w:themeColor="text1"/>
              </w:rPr>
            </w:pPr>
            <w:r w:rsidRPr="00F23D57">
              <w:rPr>
                <w:i/>
                <w:iCs/>
                <w:color w:val="000000" w:themeColor="text1"/>
              </w:rPr>
              <w:t>latitude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9B1C1" w14:textId="77777777" w:rsidR="00EF512E" w:rsidRPr="00F23D57" w:rsidRDefault="00EF512E" w:rsidP="008F5C6C">
            <w:pPr>
              <w:rPr>
                <w:i/>
                <w:iCs/>
                <w:color w:val="000000" w:themeColor="text1"/>
              </w:rPr>
            </w:pPr>
            <w:r w:rsidRPr="00F23D57">
              <w:rPr>
                <w:i/>
                <w:iCs/>
                <w:color w:val="000000" w:themeColor="text1"/>
              </w:rPr>
              <w:t>longitude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4FC1A" w14:textId="77777777" w:rsidR="00EF512E" w:rsidRPr="00F23D57" w:rsidRDefault="00EF512E" w:rsidP="008F5C6C">
            <w:pPr>
              <w:rPr>
                <w:i/>
                <w:iCs/>
                <w:color w:val="000000" w:themeColor="text1"/>
              </w:rPr>
            </w:pPr>
            <w:r w:rsidRPr="00F23D57">
              <w:rPr>
                <w:i/>
                <w:iCs/>
                <w:color w:val="000000" w:themeColor="text1"/>
              </w:rPr>
              <w:t>length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B833C2" w14:textId="77777777" w:rsidR="00EF512E" w:rsidRPr="00F23D57" w:rsidRDefault="00EF512E" w:rsidP="008F5C6C">
            <w:pPr>
              <w:rPr>
                <w:i/>
                <w:iCs/>
                <w:color w:val="000000" w:themeColor="text1"/>
              </w:rPr>
            </w:pPr>
            <w:r w:rsidRPr="00F23D57">
              <w:rPr>
                <w:i/>
                <w:iCs/>
                <w:color w:val="000000" w:themeColor="text1"/>
              </w:rPr>
              <w:t>obliquity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BA669CD" w14:textId="2A0002D4" w:rsidR="00EF512E" w:rsidRPr="00F23D57" w:rsidRDefault="00BC2A93" w:rsidP="008F5C6C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span</w:t>
            </w:r>
          </w:p>
        </w:tc>
      </w:tr>
      <w:tr w:rsidR="0087630F" w:rsidRPr="00F23D57" w14:paraId="330D61DB" w14:textId="77777777" w:rsidTr="0087630F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85C5B" w14:textId="54C19826" w:rsidR="00EF512E" w:rsidRPr="00F23D57" w:rsidRDefault="00EF512E" w:rsidP="008F5C6C">
            <w:pPr>
              <w:rPr>
                <w:color w:val="000000" w:themeColor="text1"/>
              </w:rPr>
            </w:pPr>
            <w:proofErr w:type="spellStart"/>
            <w:r w:rsidRPr="00F23D57">
              <w:rPr>
                <w:color w:val="000000" w:themeColor="text1"/>
              </w:rPr>
              <w:t>Balikburnu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BFA6F" w14:textId="0CDA78F6" w:rsidR="00EF512E" w:rsidRPr="00F23D57" w:rsidRDefault="000448AF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255</w:t>
            </w:r>
            <w:r w:rsidR="00DF710E">
              <w:rPr>
                <w:color w:val="000000" w:themeColor="text1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332F8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37.9903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701E0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 xml:space="preserve">38.1990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FC78B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5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E6D8D1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318A20C" w14:textId="56068DD3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Mar</w:t>
            </w:r>
            <w:r w:rsidR="00DC658B">
              <w:rPr>
                <w:color w:val="000000" w:themeColor="text1"/>
              </w:rPr>
              <w:t>-</w:t>
            </w:r>
            <w:r w:rsidR="00BB1F7B">
              <w:rPr>
                <w:color w:val="000000" w:themeColor="text1"/>
              </w:rPr>
              <w:t>Jul</w:t>
            </w:r>
            <w:r w:rsidR="00DC658B">
              <w:rPr>
                <w:color w:val="000000" w:themeColor="text1"/>
              </w:rPr>
              <w:t>'</w:t>
            </w:r>
            <w:r w:rsidR="00BB1F7B">
              <w:rPr>
                <w:color w:val="000000" w:themeColor="text1"/>
              </w:rPr>
              <w:t>23</w:t>
            </w:r>
          </w:p>
        </w:tc>
      </w:tr>
      <w:tr w:rsidR="0087630F" w:rsidRPr="00F23D57" w14:paraId="2176E061" w14:textId="77777777" w:rsidTr="0087630F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D87B1" w14:textId="77777777" w:rsidR="00EF512E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Goksun</w:t>
            </w:r>
            <w:r w:rsidR="00DC658B">
              <w:rPr>
                <w:color w:val="000000" w:themeColor="text1"/>
              </w:rPr>
              <w:t xml:space="preserve"> oblique</w:t>
            </w:r>
          </w:p>
          <w:p w14:paraId="236FCA94" w14:textId="5740AC2B" w:rsidR="00DC658B" w:rsidRPr="00F23D57" w:rsidRDefault="00DC658B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Goksun </w:t>
            </w:r>
            <w:r w:rsidR="00752973">
              <w:rPr>
                <w:color w:val="000000" w:themeColor="text1"/>
              </w:rPr>
              <w:t>ortho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B5634" w14:textId="4FE1E35D" w:rsidR="00EF512E" w:rsidRPr="00F23D57" w:rsidRDefault="009A6BD9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379698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6B27A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38.0060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9C4E5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36.5267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4368D" w14:textId="77777777" w:rsidR="00EF512E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6 m</w:t>
            </w:r>
          </w:p>
          <w:p w14:paraId="16E33F1D" w14:textId="08BF54DB" w:rsidR="0087630F" w:rsidRPr="00F23D57" w:rsidRDefault="0087630F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F8FEAC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652497B" w14:textId="59BBF67D" w:rsidR="004A02EF" w:rsidRDefault="00DC658B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</w:t>
            </w:r>
            <w:r w:rsidR="00BC2A93">
              <w:rPr>
                <w:color w:val="000000" w:themeColor="text1"/>
              </w:rPr>
              <w:t>23-</w:t>
            </w:r>
            <w:r w:rsidR="00F72139">
              <w:rPr>
                <w:color w:val="000000" w:themeColor="text1"/>
              </w:rPr>
              <w:t>Oct</w:t>
            </w:r>
            <w:r w:rsidR="00BC2A93">
              <w:rPr>
                <w:color w:val="000000" w:themeColor="text1"/>
              </w:rPr>
              <w:t>24</w:t>
            </w:r>
          </w:p>
          <w:p w14:paraId="394EDCBC" w14:textId="64178F47" w:rsidR="004A02EF" w:rsidRPr="00F23D57" w:rsidRDefault="00DC658B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Sep</w:t>
            </w:r>
            <w:r w:rsidR="004A02EF">
              <w:rPr>
                <w:color w:val="000000" w:themeColor="text1"/>
              </w:rPr>
              <w:t>23-</w:t>
            </w:r>
            <w:r w:rsidR="003A0056">
              <w:rPr>
                <w:color w:val="000000" w:themeColor="text1"/>
              </w:rPr>
              <w:t>Oct</w:t>
            </w:r>
            <w:r w:rsidR="004A02EF">
              <w:rPr>
                <w:color w:val="000000" w:themeColor="text1"/>
              </w:rPr>
              <w:t>2</w:t>
            </w:r>
            <w:r w:rsidR="003A0056">
              <w:rPr>
                <w:color w:val="000000" w:themeColor="text1"/>
              </w:rPr>
              <w:t>4</w:t>
            </w:r>
          </w:p>
        </w:tc>
      </w:tr>
      <w:tr w:rsidR="0087630F" w:rsidRPr="00F23D57" w14:paraId="3350D65A" w14:textId="77777777" w:rsidTr="0087630F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AB909" w14:textId="6860ABF8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Gozene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97945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e33.36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E0E3B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t xml:space="preserve">38.1759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4AFD2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t>38.0103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9E295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5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26390E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C67C080" w14:textId="34920B5B" w:rsidR="00EF512E" w:rsidRPr="00F23D57" w:rsidRDefault="00175E54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Mar23-Oct24</w:t>
            </w:r>
          </w:p>
        </w:tc>
      </w:tr>
      <w:tr w:rsidR="0087630F" w:rsidRPr="00F23D57" w14:paraId="5E9DDEB3" w14:textId="77777777" w:rsidTr="0087630F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C0B18" w14:textId="5248E198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Hassa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26DBC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e32.37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8B338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36.8006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030CE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36.5185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D10EC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5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1F0F85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FA3165D" w14:textId="3663D002" w:rsidR="00EF512E" w:rsidRPr="00F23D57" w:rsidRDefault="00DC658B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Mar-Aug'23</w:t>
            </w:r>
          </w:p>
        </w:tc>
      </w:tr>
      <w:tr w:rsidR="0087630F" w:rsidRPr="00F23D57" w14:paraId="712876B3" w14:textId="77777777" w:rsidTr="0087630F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56F0A" w14:textId="510376C9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Hatay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1AFB1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e33.39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E0A11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38.3870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5162E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36.2803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09AAF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26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EAF95A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76CBA01" w14:textId="6ED44BA6" w:rsidR="00EF512E" w:rsidRPr="00F23D57" w:rsidRDefault="00DC658B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Mar-Jul'23</w:t>
            </w:r>
          </w:p>
        </w:tc>
      </w:tr>
      <w:tr w:rsidR="0087630F" w:rsidRPr="00F23D57" w14:paraId="053237AF" w14:textId="77777777" w:rsidTr="0087630F">
        <w:trPr>
          <w:trHeight w:val="3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EB607" w14:textId="76BF7556" w:rsidR="00EF512E" w:rsidRPr="00F23D57" w:rsidRDefault="00752973" w:rsidP="008F5C6C">
            <w:pPr>
              <w:jc w:val="both"/>
              <w:rPr>
                <w:color w:val="000000" w:themeColor="text1"/>
              </w:rPr>
            </w:pPr>
            <w:proofErr w:type="spellStart"/>
            <w:r w:rsidRPr="00F23D57">
              <w:rPr>
                <w:color w:val="000000" w:themeColor="text1"/>
              </w:rPr>
              <w:t>Karakose</w:t>
            </w:r>
            <w:proofErr w:type="spellEnd"/>
            <w:r>
              <w:rPr>
                <w:color w:val="000000" w:themeColor="text1"/>
              </w:rPr>
              <w:t xml:space="preserve"> ortho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9EDE8" w14:textId="376390ED" w:rsidR="00EF512E" w:rsidRPr="00F23D57" w:rsidRDefault="00EF512E" w:rsidP="008F5C6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89C11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38.0697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840A0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38.4983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3E4C3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6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7BCDE1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095FDB1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4 June</w:t>
            </w:r>
          </w:p>
        </w:tc>
      </w:tr>
      <w:tr w:rsidR="0087630F" w:rsidRPr="00F23D57" w14:paraId="43F8D48A" w14:textId="77777777" w:rsidTr="0087630F">
        <w:trPr>
          <w:trHeight w:val="3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EF9E1" w14:textId="296D17DF" w:rsidR="00EF512E" w:rsidRPr="00752973" w:rsidRDefault="00752973" w:rsidP="008F5C6C">
            <w:pPr>
              <w:jc w:val="both"/>
              <w:rPr>
                <w:color w:val="000000" w:themeColor="text1"/>
              </w:rPr>
            </w:pPr>
            <w:proofErr w:type="spellStart"/>
            <w:r w:rsidRPr="00F23D57">
              <w:rPr>
                <w:color w:val="000000" w:themeColor="text1"/>
              </w:rPr>
              <w:t>Karakose</w:t>
            </w:r>
            <w:proofErr w:type="spellEnd"/>
            <w:r w:rsidRPr="00752973">
              <w:rPr>
                <w:color w:val="000000" w:themeColor="text1"/>
              </w:rPr>
              <w:t xml:space="preserve"> oblique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52D9D" w14:textId="0778911C" w:rsidR="00EF512E" w:rsidRPr="00F23D57" w:rsidRDefault="00EF512E" w:rsidP="008F5C6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3CA0F" w14:textId="2F27085D" w:rsidR="00EF512E" w:rsidRPr="00F23D57" w:rsidRDefault="00EF512E" w:rsidP="008F5C6C">
            <w:pPr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B7C30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38.4983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81602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12.5m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40F2AA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90°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3AA367A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4 June</w:t>
            </w:r>
          </w:p>
        </w:tc>
      </w:tr>
      <w:tr w:rsidR="0087630F" w:rsidRPr="00F23D57" w14:paraId="37935F38" w14:textId="77777777" w:rsidTr="0087630F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E9364" w14:textId="62D6BEE2" w:rsidR="00EF512E" w:rsidRPr="00F23D57" w:rsidRDefault="00EF512E" w:rsidP="008F5C6C">
            <w:pPr>
              <w:rPr>
                <w:color w:val="000000" w:themeColor="text1"/>
                <w:vertAlign w:val="superscript"/>
              </w:rPr>
            </w:pPr>
            <w:proofErr w:type="spellStart"/>
            <w:r w:rsidRPr="00F23D57">
              <w:rPr>
                <w:color w:val="000000" w:themeColor="text1"/>
              </w:rPr>
              <w:t>Kirikhan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93454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e33.38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93B8E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36.4791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E838A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36.3339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90D83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5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984643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6CC52DB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4 Mar</w:t>
            </w:r>
          </w:p>
        </w:tc>
      </w:tr>
      <w:tr w:rsidR="0087630F" w:rsidRPr="00F23D57" w14:paraId="4BE1F56A" w14:textId="77777777" w:rsidTr="0087630F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8C202" w14:textId="551CEB37" w:rsidR="00EF512E" w:rsidRPr="00F23D57" w:rsidRDefault="00EF512E" w:rsidP="008F5C6C">
            <w:pPr>
              <w:jc w:val="both"/>
              <w:rPr>
                <w:color w:val="000000" w:themeColor="text1"/>
              </w:rPr>
            </w:pPr>
            <w:proofErr w:type="spellStart"/>
            <w:r w:rsidRPr="00F23D57">
              <w:rPr>
                <w:color w:val="000000" w:themeColor="text1"/>
              </w:rPr>
              <w:t>Ormanici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79852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e31.40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B7A92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 xml:space="preserve">38.2113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A2BC0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 xml:space="preserve">38.7732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D3021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16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9C317C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9235789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2020</w:t>
            </w:r>
          </w:p>
        </w:tc>
      </w:tr>
      <w:tr w:rsidR="0087630F" w:rsidRPr="00F23D57" w14:paraId="67B415F1" w14:textId="77777777" w:rsidTr="0087630F">
        <w:trPr>
          <w:trHeight w:val="3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0CAC3" w14:textId="18EE3FDF" w:rsidR="00EF512E" w:rsidRPr="00F23D57" w:rsidRDefault="00EF512E" w:rsidP="008F5C6C">
            <w:pPr>
              <w:jc w:val="both"/>
              <w:rPr>
                <w:color w:val="000000" w:themeColor="text1"/>
                <w:vertAlign w:val="superscript"/>
              </w:rPr>
            </w:pPr>
            <w:r w:rsidRPr="00F23D57">
              <w:rPr>
                <w:color w:val="000000" w:themeColor="text1"/>
              </w:rPr>
              <w:t>Palu North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F59DA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d23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6F72F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 xml:space="preserve">38.6990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58AA3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39.9537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44A69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8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6764A8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48D3195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2014</w:t>
            </w:r>
          </w:p>
        </w:tc>
      </w:tr>
      <w:tr w:rsidR="0087630F" w:rsidRPr="00F23D57" w14:paraId="4ACCD4B0" w14:textId="77777777" w:rsidTr="0087630F">
        <w:trPr>
          <w:trHeight w:val="3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A9F4A" w14:textId="15809A89" w:rsidR="00EF512E" w:rsidRPr="00F23D57" w:rsidRDefault="00EF512E" w:rsidP="008F5C6C">
            <w:pPr>
              <w:jc w:val="both"/>
              <w:rPr>
                <w:color w:val="000000" w:themeColor="text1"/>
                <w:vertAlign w:val="superscript"/>
              </w:rPr>
            </w:pPr>
            <w:r w:rsidRPr="00F23D57">
              <w:rPr>
                <w:color w:val="000000" w:themeColor="text1"/>
              </w:rPr>
              <w:t>Sivrice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D7A1A" w14:textId="150605C0" w:rsidR="00EF512E" w:rsidRPr="00F23D57" w:rsidRDefault="00733276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5575687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21556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38.3880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93F36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39.1873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AD295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16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2D8169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7CA668C" w14:textId="356D493B" w:rsidR="00EF512E" w:rsidRPr="00F23D57" w:rsidRDefault="00733276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Feb20-Oct24</w:t>
            </w:r>
          </w:p>
        </w:tc>
      </w:tr>
      <w:tr w:rsidR="0087630F" w:rsidRPr="00F23D57" w14:paraId="098B82E2" w14:textId="77777777" w:rsidTr="0087630F">
        <w:trPr>
          <w:trHeight w:val="3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836E2" w14:textId="257820CC" w:rsidR="00EF512E" w:rsidRPr="00F23D57" w:rsidRDefault="00EF512E" w:rsidP="008F5C6C">
            <w:pPr>
              <w:jc w:val="both"/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lastRenderedPageBreak/>
              <w:t>Tasmis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E58DC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e33.42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3EB2E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38.2049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215D5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38.7872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C6937" w14:textId="77777777" w:rsidR="00EF512E" w:rsidRPr="00F23D57" w:rsidRDefault="00EF512E" w:rsidP="008F5C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Pr="00F23D57">
              <w:rPr>
                <w:color w:val="000000" w:themeColor="text1"/>
              </w:rPr>
              <w:t xml:space="preserve"> m</w:t>
            </w:r>
            <w:r>
              <w:rPr>
                <w:color w:val="000000" w:themeColor="text1"/>
              </w:rPr>
              <w:t>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DD3ED7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6C0B278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23 Mar</w:t>
            </w:r>
          </w:p>
        </w:tc>
      </w:tr>
      <w:tr w:rsidR="0087630F" w:rsidRPr="00F23D57" w14:paraId="4196BBCE" w14:textId="77777777" w:rsidTr="0087630F">
        <w:trPr>
          <w:trHeight w:val="3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8D10C" w14:textId="1EBC98D7" w:rsidR="00EF512E" w:rsidRPr="00F23D57" w:rsidRDefault="00EF512E" w:rsidP="008F5C6C">
            <w:pPr>
              <w:jc w:val="both"/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Yazica East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894FF" w14:textId="77777777" w:rsidR="00EF512E" w:rsidRPr="00F23D57" w:rsidRDefault="00EF512E" w:rsidP="008F5C6C">
            <w:pPr>
              <w:rPr>
                <w:b/>
                <w:bCs/>
              </w:rPr>
            </w:pPr>
            <w:r w:rsidRPr="00F23D57">
              <w:rPr>
                <w:color w:val="000000" w:themeColor="text1"/>
              </w:rPr>
              <w:t>e33.47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8DA18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38.1791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3B44B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38.7426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87876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20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623131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30°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A05F50D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6 Sept</w:t>
            </w:r>
          </w:p>
        </w:tc>
      </w:tr>
      <w:tr w:rsidR="0087630F" w:rsidRPr="00F23D57" w14:paraId="4462CDE7" w14:textId="77777777" w:rsidTr="0087630F">
        <w:trPr>
          <w:trHeight w:val="3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F9DA2" w14:textId="30002EBB" w:rsidR="00EF512E" w:rsidRPr="00F23D57" w:rsidRDefault="00EF512E" w:rsidP="008F5C6C">
            <w:pPr>
              <w:jc w:val="both"/>
              <w:rPr>
                <w:color w:val="000000" w:themeColor="text1"/>
                <w:vertAlign w:val="superscript"/>
              </w:rPr>
            </w:pPr>
            <w:r w:rsidRPr="00F23D57">
              <w:rPr>
                <w:color w:val="000000" w:themeColor="text1"/>
              </w:rPr>
              <w:t>Yazica West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F3AD9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e31.41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17F5C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38.1806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FAECF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38.7361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2127E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5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42C36B4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35°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F3B6372" w14:textId="77777777" w:rsidR="00EF512E" w:rsidRPr="00F23D57" w:rsidRDefault="00EF512E" w:rsidP="008F5C6C">
            <w:pPr>
              <w:rPr>
                <w:color w:val="000000" w:themeColor="text1"/>
              </w:rPr>
            </w:pPr>
            <w:r w:rsidRPr="00F23D57">
              <w:rPr>
                <w:color w:val="000000" w:themeColor="text1"/>
              </w:rPr>
              <w:t>22 Mar</w:t>
            </w:r>
          </w:p>
        </w:tc>
      </w:tr>
    </w:tbl>
    <w:p w14:paraId="1D81E752" w14:textId="77777777" w:rsidR="00EF512E" w:rsidRPr="00F23D57" w:rsidRDefault="00EF512E" w:rsidP="00EF512E">
      <w:pPr>
        <w:rPr>
          <w:i/>
          <w:iCs/>
        </w:rPr>
      </w:pPr>
      <w:r w:rsidRPr="00F23D57">
        <w:rPr>
          <w:i/>
          <w:iCs/>
        </w:rPr>
        <w:t xml:space="preserve">Coordinates of North Anatolian Fault creepmeters near Ismetpasa </w:t>
      </w:r>
    </w:p>
    <w:tbl>
      <w:tblPr>
        <w:tblW w:w="10834" w:type="dxa"/>
        <w:tblLayout w:type="fixed"/>
        <w:tblLook w:val="04A0" w:firstRow="1" w:lastRow="0" w:firstColumn="1" w:lastColumn="0" w:noHBand="0" w:noVBand="1"/>
      </w:tblPr>
      <w:tblGrid>
        <w:gridCol w:w="1980"/>
        <w:gridCol w:w="1440"/>
        <w:gridCol w:w="1530"/>
        <w:gridCol w:w="1530"/>
        <w:gridCol w:w="1080"/>
        <w:gridCol w:w="1620"/>
        <w:gridCol w:w="1654"/>
      </w:tblGrid>
      <w:tr w:rsidR="00EF512E" w:rsidRPr="00F23D57" w14:paraId="539FC3E8" w14:textId="77777777" w:rsidTr="008F5C6C">
        <w:trPr>
          <w:trHeight w:val="31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3E472" w14:textId="4CC1F527" w:rsidR="00EF512E" w:rsidRPr="00F23D57" w:rsidRDefault="00EF512E" w:rsidP="008F5C6C">
            <w:pPr>
              <w:ind w:right="484"/>
              <w:rPr>
                <w:color w:val="000000"/>
              </w:rPr>
            </w:pPr>
            <w:r w:rsidRPr="00F23D57">
              <w:rPr>
                <w:color w:val="000000"/>
              </w:rPr>
              <w:t>Cerkes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FB0F9" w14:textId="77777777" w:rsidR="00EF512E" w:rsidRPr="00F23D57" w:rsidRDefault="00EF512E" w:rsidP="008F5C6C">
            <w:pPr>
              <w:ind w:left="-109" w:right="484"/>
              <w:rPr>
                <w:color w:val="000000"/>
              </w:rPr>
            </w:pPr>
            <w:r w:rsidRPr="00F23D57">
              <w:rPr>
                <w:color w:val="000000"/>
              </w:rPr>
              <w:t>vertical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505D7" w14:textId="77777777" w:rsidR="00EF512E" w:rsidRPr="00F23D57" w:rsidRDefault="00EF512E" w:rsidP="008F5C6C">
            <w:pPr>
              <w:ind w:left="-109" w:right="484"/>
              <w:rPr>
                <w:color w:val="000000"/>
              </w:rPr>
            </w:pPr>
            <w:r w:rsidRPr="00F23D57">
              <w:rPr>
                <w:color w:val="000000"/>
              </w:rPr>
              <w:t xml:space="preserve">40.8947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DEA96" w14:textId="77777777" w:rsidR="00EF512E" w:rsidRPr="00F23D57" w:rsidRDefault="00EF512E" w:rsidP="008F5C6C">
            <w:pPr>
              <w:ind w:left="-104" w:right="484"/>
              <w:rPr>
                <w:color w:val="000000"/>
              </w:rPr>
            </w:pPr>
            <w:r w:rsidRPr="00F23D57">
              <w:rPr>
                <w:color w:val="000000"/>
              </w:rPr>
              <w:t>32.7773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D6265" w14:textId="77777777" w:rsidR="00EF512E" w:rsidRPr="00F23D57" w:rsidRDefault="00EF512E" w:rsidP="008F5C6C">
            <w:pPr>
              <w:tabs>
                <w:tab w:val="left" w:pos="70"/>
              </w:tabs>
              <w:ind w:left="-110"/>
              <w:rPr>
                <w:color w:val="000000"/>
              </w:rPr>
            </w:pPr>
            <w:r w:rsidRPr="00F23D57">
              <w:rPr>
                <w:color w:val="000000"/>
              </w:rPr>
              <w:t>20 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9B497BB" w14:textId="77777777" w:rsidR="00EF512E" w:rsidRPr="00F23D57" w:rsidRDefault="00EF512E" w:rsidP="008F5C6C">
            <w:pPr>
              <w:tabs>
                <w:tab w:val="left" w:pos="70"/>
              </w:tabs>
              <w:rPr>
                <w:color w:val="000000"/>
              </w:rPr>
            </w:pPr>
            <w:r w:rsidRPr="00F23D57">
              <w:rPr>
                <w:color w:val="000000"/>
              </w:rPr>
              <w:t>30°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02DAF02" w14:textId="77777777" w:rsidR="00EF512E" w:rsidRPr="00F23D57" w:rsidRDefault="00EF512E" w:rsidP="008F5C6C">
            <w:pPr>
              <w:tabs>
                <w:tab w:val="left" w:pos="70"/>
              </w:tabs>
              <w:ind w:left="-127"/>
              <w:rPr>
                <w:color w:val="000000"/>
              </w:rPr>
            </w:pPr>
            <w:r w:rsidRPr="00F23D57">
              <w:rPr>
                <w:color w:val="000000"/>
              </w:rPr>
              <w:t>2017</w:t>
            </w:r>
          </w:p>
        </w:tc>
      </w:tr>
      <w:tr w:rsidR="00EF512E" w:rsidRPr="00F23D57" w14:paraId="7E8DB0B6" w14:textId="77777777" w:rsidTr="008F5C6C">
        <w:trPr>
          <w:trHeight w:val="31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B6F80" w14:textId="4C76DFE5" w:rsidR="00EF512E" w:rsidRPr="00F23D57" w:rsidRDefault="00EF512E" w:rsidP="008F5C6C">
            <w:pPr>
              <w:ind w:right="484"/>
              <w:rPr>
                <w:color w:val="000000"/>
              </w:rPr>
            </w:pPr>
            <w:r w:rsidRPr="00F23D57">
              <w:rPr>
                <w:color w:val="000000"/>
              </w:rPr>
              <w:t>Hamaml</w:t>
            </w:r>
            <w:r>
              <w:rPr>
                <w:color w:val="000000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161A3" w14:textId="77777777" w:rsidR="00EF512E" w:rsidRPr="00F23D57" w:rsidRDefault="00EF512E" w:rsidP="008F5C6C">
            <w:pPr>
              <w:ind w:left="-109" w:right="484"/>
              <w:rPr>
                <w:color w:val="000000"/>
              </w:rPr>
            </w:pPr>
            <w:r w:rsidRPr="00F23D57">
              <w:rPr>
                <w:color w:val="000000"/>
              </w:rPr>
              <w:t>d25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B5F6A" w14:textId="77777777" w:rsidR="00EF512E" w:rsidRPr="00F23D57" w:rsidRDefault="00EF512E" w:rsidP="008F5C6C">
            <w:pPr>
              <w:ind w:left="-109" w:right="484"/>
              <w:rPr>
                <w:color w:val="000000"/>
              </w:rPr>
            </w:pPr>
            <w:r w:rsidRPr="00F23D57">
              <w:rPr>
                <w:color w:val="000000"/>
              </w:rPr>
              <w:t>40.8729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83DFF" w14:textId="77777777" w:rsidR="00EF512E" w:rsidRPr="00F23D57" w:rsidRDefault="00EF512E" w:rsidP="008F5C6C">
            <w:pPr>
              <w:ind w:left="-104" w:right="484"/>
              <w:rPr>
                <w:color w:val="000000"/>
              </w:rPr>
            </w:pPr>
            <w:r w:rsidRPr="00F23D57">
              <w:rPr>
                <w:color w:val="000000"/>
              </w:rPr>
              <w:t>32.6603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F4D56" w14:textId="77777777" w:rsidR="00EF512E" w:rsidRPr="00F23D57" w:rsidRDefault="00EF512E" w:rsidP="008F5C6C">
            <w:pPr>
              <w:tabs>
                <w:tab w:val="left" w:pos="70"/>
              </w:tabs>
              <w:ind w:left="-110"/>
              <w:rPr>
                <w:color w:val="000000"/>
              </w:rPr>
            </w:pPr>
            <w:r w:rsidRPr="00F23D57">
              <w:rPr>
                <w:color w:val="000000"/>
              </w:rPr>
              <w:t>13 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AB68CB8" w14:textId="77777777" w:rsidR="00EF512E" w:rsidRPr="00F23D57" w:rsidRDefault="00EF512E" w:rsidP="008F5C6C">
            <w:pPr>
              <w:tabs>
                <w:tab w:val="left" w:pos="70"/>
              </w:tabs>
              <w:rPr>
                <w:color w:val="000000"/>
              </w:rPr>
            </w:pPr>
            <w:r w:rsidRPr="00F23D57">
              <w:rPr>
                <w:color w:val="000000"/>
              </w:rPr>
              <w:t>30°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8415CAF" w14:textId="77777777" w:rsidR="00EF512E" w:rsidRPr="00F23D57" w:rsidRDefault="00EF512E" w:rsidP="008F5C6C">
            <w:pPr>
              <w:tabs>
                <w:tab w:val="left" w:pos="70"/>
              </w:tabs>
              <w:ind w:left="-127"/>
              <w:rPr>
                <w:color w:val="000000"/>
              </w:rPr>
            </w:pPr>
            <w:r w:rsidRPr="00F23D57">
              <w:rPr>
                <w:color w:val="000000"/>
              </w:rPr>
              <w:t>2017</w:t>
            </w:r>
          </w:p>
        </w:tc>
      </w:tr>
      <w:tr w:rsidR="00EF512E" w:rsidRPr="00F23D57" w14:paraId="6F4E6A22" w14:textId="77777777" w:rsidTr="008F5C6C">
        <w:trPr>
          <w:trHeight w:val="31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14229" w14:textId="2A22E837" w:rsidR="00EF512E" w:rsidRPr="00F23D57" w:rsidRDefault="00EF512E" w:rsidP="008F5C6C">
            <w:pPr>
              <w:ind w:right="484"/>
              <w:rPr>
                <w:color w:val="000000"/>
                <w:sz w:val="20"/>
                <w:szCs w:val="20"/>
              </w:rPr>
            </w:pPr>
            <w:r w:rsidRPr="00F23D57">
              <w:rPr>
                <w:color w:val="000000" w:themeColor="text1"/>
                <w:sz w:val="20"/>
                <w:szCs w:val="20"/>
              </w:rPr>
              <w:t>IsmetpasaN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3E51A" w14:textId="77777777" w:rsidR="00EF512E" w:rsidRPr="00F23D57" w:rsidRDefault="00EF512E" w:rsidP="008F5C6C">
            <w:pPr>
              <w:ind w:left="-109" w:right="484"/>
              <w:rPr>
                <w:color w:val="000000"/>
              </w:rPr>
            </w:pPr>
            <w:r w:rsidRPr="00F23D57">
              <w:rPr>
                <w:color w:val="000000" w:themeColor="text1"/>
              </w:rPr>
              <w:t>LVDT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8F7DA" w14:textId="77777777" w:rsidR="00EF512E" w:rsidRPr="00F23D57" w:rsidRDefault="00EF512E" w:rsidP="008F5C6C">
            <w:pPr>
              <w:ind w:left="-109" w:right="484"/>
              <w:rPr>
                <w:color w:val="000000"/>
              </w:rPr>
            </w:pPr>
            <w:r w:rsidRPr="00F23D57">
              <w:rPr>
                <w:color w:val="000000" w:themeColor="text1"/>
              </w:rPr>
              <w:t xml:space="preserve">40.8698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94521" w14:textId="77777777" w:rsidR="00EF512E" w:rsidRPr="00F23D57" w:rsidRDefault="00EF512E" w:rsidP="008F5C6C">
            <w:pPr>
              <w:ind w:left="-104" w:right="484"/>
              <w:rPr>
                <w:color w:val="000000"/>
              </w:rPr>
            </w:pPr>
            <w:r w:rsidRPr="00F23D57">
              <w:rPr>
                <w:color w:val="000000" w:themeColor="text1"/>
              </w:rPr>
              <w:t>32.6258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DE226" w14:textId="77777777" w:rsidR="00EF512E" w:rsidRPr="00F23D57" w:rsidRDefault="00EF512E" w:rsidP="008F5C6C">
            <w:pPr>
              <w:tabs>
                <w:tab w:val="left" w:pos="70"/>
              </w:tabs>
              <w:ind w:left="-110"/>
              <w:rPr>
                <w:color w:val="000000"/>
              </w:rPr>
            </w:pPr>
            <w:r w:rsidRPr="00F23D57">
              <w:rPr>
                <w:color w:val="000000"/>
              </w:rPr>
              <w:t>16.5 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3999981" w14:textId="77777777" w:rsidR="00EF512E" w:rsidRPr="00F23D57" w:rsidRDefault="00EF512E" w:rsidP="008F5C6C">
            <w:pPr>
              <w:tabs>
                <w:tab w:val="left" w:pos="70"/>
              </w:tabs>
              <w:rPr>
                <w:color w:val="000000"/>
              </w:rPr>
            </w:pPr>
            <w:r w:rsidRPr="00F23D57">
              <w:rPr>
                <w:color w:val="000000"/>
              </w:rPr>
              <w:t>30°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6A2D190" w14:textId="77777777" w:rsidR="00EF512E" w:rsidRPr="00F23D57" w:rsidRDefault="00EF512E" w:rsidP="008F5C6C">
            <w:pPr>
              <w:tabs>
                <w:tab w:val="left" w:pos="70"/>
              </w:tabs>
              <w:ind w:left="-127"/>
              <w:rPr>
                <w:color w:val="000000"/>
              </w:rPr>
            </w:pPr>
            <w:r w:rsidRPr="00F23D57">
              <w:rPr>
                <w:color w:val="000000"/>
              </w:rPr>
              <w:t>2014</w:t>
            </w:r>
          </w:p>
        </w:tc>
      </w:tr>
      <w:tr w:rsidR="00EF512E" w:rsidRPr="00F23D57" w14:paraId="7D5D8784" w14:textId="77777777" w:rsidTr="008F5C6C">
        <w:trPr>
          <w:trHeight w:val="31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A9EFA" w14:textId="0468DE8E" w:rsidR="00EF512E" w:rsidRPr="00F23D57" w:rsidRDefault="00EF512E" w:rsidP="008F5C6C">
            <w:pPr>
              <w:ind w:right="484"/>
              <w:rPr>
                <w:color w:val="000000"/>
                <w:sz w:val="21"/>
                <w:szCs w:val="21"/>
              </w:rPr>
            </w:pPr>
            <w:r w:rsidRPr="00F23D57">
              <w:rPr>
                <w:color w:val="000000" w:themeColor="text1"/>
                <w:sz w:val="21"/>
                <w:szCs w:val="21"/>
              </w:rPr>
              <w:t>IsmetpasaS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1A3A0" w14:textId="77777777" w:rsidR="00EF512E" w:rsidRPr="00F23D57" w:rsidRDefault="00EF512E" w:rsidP="008F5C6C">
            <w:pPr>
              <w:ind w:left="-109" w:right="484"/>
              <w:rPr>
                <w:color w:val="000000"/>
              </w:rPr>
            </w:pPr>
            <w:r w:rsidRPr="00F23D57">
              <w:rPr>
                <w:color w:val="000000"/>
              </w:rPr>
              <w:t>d14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F23EA" w14:textId="77777777" w:rsidR="00EF512E" w:rsidRPr="00F23D57" w:rsidRDefault="00EF512E" w:rsidP="008F5C6C">
            <w:pPr>
              <w:ind w:left="-109" w:right="484"/>
              <w:rPr>
                <w:color w:val="000000"/>
              </w:rPr>
            </w:pPr>
            <w:r w:rsidRPr="00F23D57">
              <w:rPr>
                <w:color w:val="000000"/>
              </w:rPr>
              <w:t>40.8697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1AC56" w14:textId="77777777" w:rsidR="00EF512E" w:rsidRPr="00F23D57" w:rsidRDefault="00EF512E" w:rsidP="008F5C6C">
            <w:pPr>
              <w:ind w:left="-104" w:right="484"/>
              <w:rPr>
                <w:color w:val="000000"/>
              </w:rPr>
            </w:pPr>
            <w:r w:rsidRPr="00F23D57">
              <w:rPr>
                <w:color w:val="000000"/>
              </w:rPr>
              <w:t>32.6258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D4166" w14:textId="77777777" w:rsidR="00EF512E" w:rsidRPr="00F23D57" w:rsidRDefault="00EF512E" w:rsidP="008F5C6C">
            <w:pPr>
              <w:tabs>
                <w:tab w:val="left" w:pos="70"/>
              </w:tabs>
              <w:ind w:left="-110"/>
              <w:rPr>
                <w:color w:val="000000"/>
              </w:rPr>
            </w:pPr>
            <w:r w:rsidRPr="00F23D57">
              <w:rPr>
                <w:color w:val="000000"/>
              </w:rPr>
              <w:t>20 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02BDF2" w14:textId="77777777" w:rsidR="00EF512E" w:rsidRPr="00F23D57" w:rsidRDefault="00EF512E" w:rsidP="008F5C6C">
            <w:pPr>
              <w:tabs>
                <w:tab w:val="left" w:pos="70"/>
              </w:tabs>
              <w:rPr>
                <w:color w:val="000000"/>
              </w:rPr>
            </w:pPr>
            <w:r w:rsidRPr="00F23D57">
              <w:rPr>
                <w:color w:val="000000"/>
              </w:rPr>
              <w:t>30°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03DC93A" w14:textId="77777777" w:rsidR="00EF512E" w:rsidRPr="00F23D57" w:rsidRDefault="00EF512E" w:rsidP="008F5C6C">
            <w:pPr>
              <w:tabs>
                <w:tab w:val="left" w:pos="70"/>
              </w:tabs>
              <w:ind w:left="-127"/>
              <w:rPr>
                <w:color w:val="000000"/>
              </w:rPr>
            </w:pPr>
            <w:r w:rsidRPr="00F23D57">
              <w:rPr>
                <w:color w:val="000000"/>
              </w:rPr>
              <w:t>2017</w:t>
            </w:r>
          </w:p>
        </w:tc>
      </w:tr>
      <w:tr w:rsidR="00EF512E" w:rsidRPr="00F23D57" w14:paraId="54673D3B" w14:textId="77777777" w:rsidTr="008F5C6C">
        <w:trPr>
          <w:trHeight w:val="31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4BDCE" w14:textId="462E91A0" w:rsidR="00EF512E" w:rsidRPr="00F23D57" w:rsidRDefault="00EF512E" w:rsidP="008F5C6C">
            <w:pPr>
              <w:ind w:right="484"/>
              <w:rPr>
                <w:color w:val="000000"/>
                <w:sz w:val="20"/>
                <w:szCs w:val="20"/>
              </w:rPr>
            </w:pPr>
            <w:r w:rsidRPr="00F23D57">
              <w:rPr>
                <w:color w:val="000000"/>
                <w:sz w:val="20"/>
                <w:szCs w:val="20"/>
              </w:rPr>
              <w:t>West Sazlik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23C11" w14:textId="77777777" w:rsidR="00EF512E" w:rsidRPr="00F23D57" w:rsidRDefault="00EF512E" w:rsidP="008F5C6C">
            <w:pPr>
              <w:ind w:left="-109" w:right="484"/>
              <w:rPr>
                <w:color w:val="000000"/>
              </w:rPr>
            </w:pPr>
            <w:r w:rsidRPr="00F23D57">
              <w:rPr>
                <w:color w:val="000000"/>
              </w:rPr>
              <w:t>vertical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6FC70" w14:textId="77777777" w:rsidR="00EF512E" w:rsidRPr="00F23D57" w:rsidRDefault="00EF512E" w:rsidP="008F5C6C">
            <w:pPr>
              <w:ind w:left="-109" w:right="484"/>
              <w:rPr>
                <w:color w:val="000000"/>
              </w:rPr>
            </w:pPr>
            <w:r w:rsidRPr="00F23D57">
              <w:rPr>
                <w:color w:val="000000"/>
              </w:rPr>
              <w:t>40.8692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F5199" w14:textId="77777777" w:rsidR="00EF512E" w:rsidRPr="00F23D57" w:rsidRDefault="00EF512E" w:rsidP="008F5C6C">
            <w:pPr>
              <w:ind w:left="-104" w:right="484"/>
              <w:rPr>
                <w:color w:val="000000"/>
              </w:rPr>
            </w:pPr>
            <w:r w:rsidRPr="00F23D57">
              <w:rPr>
                <w:color w:val="000000"/>
              </w:rPr>
              <w:t>32.6194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A0643" w14:textId="77777777" w:rsidR="00EF512E" w:rsidRPr="00F23D57" w:rsidRDefault="00EF512E" w:rsidP="008F5C6C">
            <w:pPr>
              <w:tabs>
                <w:tab w:val="left" w:pos="70"/>
              </w:tabs>
              <w:ind w:left="-110"/>
              <w:rPr>
                <w:color w:val="000000"/>
              </w:rPr>
            </w:pPr>
            <w:r w:rsidRPr="00F23D57">
              <w:rPr>
                <w:color w:val="000000"/>
              </w:rPr>
              <w:t>30 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DF3494" w14:textId="77777777" w:rsidR="00EF512E" w:rsidRPr="00F23D57" w:rsidRDefault="00EF512E" w:rsidP="008F5C6C">
            <w:pPr>
              <w:tabs>
                <w:tab w:val="left" w:pos="70"/>
              </w:tabs>
              <w:rPr>
                <w:color w:val="000000"/>
              </w:rPr>
            </w:pPr>
            <w:r w:rsidRPr="00F23D57">
              <w:rPr>
                <w:color w:val="000000"/>
              </w:rPr>
              <w:t>30°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EF0BBF3" w14:textId="77777777" w:rsidR="00EF512E" w:rsidRPr="00F23D57" w:rsidRDefault="00EF512E" w:rsidP="008F5C6C">
            <w:pPr>
              <w:tabs>
                <w:tab w:val="left" w:pos="70"/>
              </w:tabs>
              <w:ind w:left="-127"/>
              <w:rPr>
                <w:color w:val="000000"/>
              </w:rPr>
            </w:pPr>
            <w:r w:rsidRPr="00F23D57">
              <w:rPr>
                <w:color w:val="000000"/>
              </w:rPr>
              <w:t>2017</w:t>
            </w:r>
          </w:p>
        </w:tc>
      </w:tr>
    </w:tbl>
    <w:p w14:paraId="5A8161B5" w14:textId="77777777" w:rsidR="00752973" w:rsidRDefault="00752973">
      <w:pPr>
        <w:rPr>
          <w:i/>
          <w:iCs/>
          <w:sz w:val="20"/>
          <w:szCs w:val="20"/>
        </w:rPr>
      </w:pPr>
    </w:p>
    <w:p w14:paraId="3A160268" w14:textId="5C739E01" w:rsidR="008F3E01" w:rsidRDefault="00B6019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†</w:t>
      </w:r>
      <w:r w:rsidR="00EF512E">
        <w:rPr>
          <w:i/>
          <w:iCs/>
          <w:sz w:val="20"/>
          <w:szCs w:val="20"/>
        </w:rPr>
        <w:t xml:space="preserve">Tasmis was originally 9 m but </w:t>
      </w:r>
      <w:r w:rsidR="00F108B5">
        <w:rPr>
          <w:i/>
          <w:iCs/>
          <w:sz w:val="20"/>
          <w:szCs w:val="20"/>
        </w:rPr>
        <w:t xml:space="preserve">in </w:t>
      </w:r>
      <w:r w:rsidR="00752973">
        <w:rPr>
          <w:i/>
          <w:iCs/>
          <w:sz w:val="20"/>
          <w:szCs w:val="20"/>
        </w:rPr>
        <w:t xml:space="preserve">mid </w:t>
      </w:r>
      <w:r w:rsidR="00F108B5">
        <w:rPr>
          <w:i/>
          <w:iCs/>
          <w:sz w:val="20"/>
          <w:szCs w:val="20"/>
        </w:rPr>
        <w:t xml:space="preserve">2023 </w:t>
      </w:r>
      <w:r w:rsidR="00EF512E">
        <w:rPr>
          <w:i/>
          <w:iCs/>
          <w:sz w:val="20"/>
          <w:szCs w:val="20"/>
        </w:rPr>
        <w:t xml:space="preserve">was shifted </w:t>
      </w:r>
      <w:r>
        <w:rPr>
          <w:i/>
          <w:iCs/>
          <w:sz w:val="20"/>
          <w:szCs w:val="20"/>
        </w:rPr>
        <w:t>30</w:t>
      </w:r>
      <w:r w:rsidR="00EF512E">
        <w:rPr>
          <w:i/>
          <w:iCs/>
          <w:sz w:val="20"/>
          <w:szCs w:val="20"/>
        </w:rPr>
        <w:t xml:space="preserve"> m </w:t>
      </w:r>
      <w:r w:rsidR="00752973">
        <w:rPr>
          <w:i/>
          <w:iCs/>
          <w:sz w:val="20"/>
          <w:szCs w:val="20"/>
        </w:rPr>
        <w:t xml:space="preserve">to the </w:t>
      </w:r>
      <w:r w:rsidR="00EF512E">
        <w:rPr>
          <w:i/>
          <w:iCs/>
          <w:sz w:val="20"/>
          <w:szCs w:val="20"/>
        </w:rPr>
        <w:t xml:space="preserve">SE and lengthened </w:t>
      </w:r>
      <w:r>
        <w:rPr>
          <w:i/>
          <w:iCs/>
          <w:sz w:val="20"/>
          <w:szCs w:val="20"/>
        </w:rPr>
        <w:t xml:space="preserve">to 52 m.  Data </w:t>
      </w:r>
      <w:r w:rsidR="00F73A90">
        <w:rPr>
          <w:i/>
          <w:iCs/>
          <w:sz w:val="20"/>
          <w:szCs w:val="20"/>
        </w:rPr>
        <w:t xml:space="preserve">for a few months </w:t>
      </w:r>
      <w:r>
        <w:rPr>
          <w:i/>
          <w:iCs/>
          <w:sz w:val="20"/>
          <w:szCs w:val="20"/>
        </w:rPr>
        <w:t xml:space="preserve">after this </w:t>
      </w:r>
      <w:r w:rsidR="00F73A90">
        <w:rPr>
          <w:i/>
          <w:iCs/>
          <w:sz w:val="20"/>
          <w:szCs w:val="20"/>
        </w:rPr>
        <w:t>shift tr</w:t>
      </w:r>
      <w:r w:rsidR="00F108B5">
        <w:rPr>
          <w:i/>
          <w:iCs/>
          <w:sz w:val="20"/>
          <w:szCs w:val="20"/>
        </w:rPr>
        <w:t>e</w:t>
      </w:r>
      <w:r w:rsidR="00F73A90">
        <w:rPr>
          <w:i/>
          <w:iCs/>
          <w:sz w:val="20"/>
          <w:szCs w:val="20"/>
        </w:rPr>
        <w:t>n</w:t>
      </w:r>
      <w:r w:rsidR="00F108B5">
        <w:rPr>
          <w:i/>
          <w:iCs/>
          <w:sz w:val="20"/>
          <w:szCs w:val="20"/>
        </w:rPr>
        <w:t>d</w:t>
      </w:r>
      <w:r w:rsidR="00F73A90">
        <w:rPr>
          <w:i/>
          <w:iCs/>
          <w:sz w:val="20"/>
          <w:szCs w:val="20"/>
        </w:rPr>
        <w:t xml:space="preserve">ed </w:t>
      </w:r>
      <w:r w:rsidR="00F108B5">
        <w:rPr>
          <w:i/>
          <w:iCs/>
          <w:sz w:val="20"/>
          <w:szCs w:val="20"/>
        </w:rPr>
        <w:t>briefly dextral</w:t>
      </w:r>
      <w:r w:rsidR="00534988">
        <w:rPr>
          <w:i/>
          <w:iCs/>
          <w:sz w:val="20"/>
          <w:szCs w:val="20"/>
        </w:rPr>
        <w:t xml:space="preserve"> due to </w:t>
      </w:r>
      <w:r w:rsidR="00752973">
        <w:rPr>
          <w:i/>
          <w:iCs/>
          <w:sz w:val="20"/>
          <w:szCs w:val="20"/>
        </w:rPr>
        <w:t>settlement following its</w:t>
      </w:r>
      <w:r w:rsidR="00534988">
        <w:rPr>
          <w:i/>
          <w:iCs/>
          <w:sz w:val="20"/>
          <w:szCs w:val="20"/>
        </w:rPr>
        <w:t xml:space="preserve"> </w:t>
      </w:r>
      <w:r w:rsidR="00B9788A">
        <w:rPr>
          <w:i/>
          <w:iCs/>
          <w:sz w:val="20"/>
          <w:szCs w:val="20"/>
        </w:rPr>
        <w:t xml:space="preserve">&gt;1 m depth of burial.  The East </w:t>
      </w:r>
      <w:proofErr w:type="spellStart"/>
      <w:r w:rsidR="00B9788A">
        <w:rPr>
          <w:i/>
          <w:iCs/>
          <w:sz w:val="20"/>
          <w:szCs w:val="20"/>
        </w:rPr>
        <w:t>Yasica</w:t>
      </w:r>
      <w:proofErr w:type="spellEnd"/>
      <w:r w:rsidR="00B9788A">
        <w:rPr>
          <w:i/>
          <w:iCs/>
          <w:sz w:val="20"/>
          <w:szCs w:val="20"/>
        </w:rPr>
        <w:t xml:space="preserve"> site also</w:t>
      </w:r>
      <w:r w:rsidR="00534988">
        <w:rPr>
          <w:i/>
          <w:iCs/>
          <w:sz w:val="20"/>
          <w:szCs w:val="20"/>
        </w:rPr>
        <w:t xml:space="preserve"> </w:t>
      </w:r>
      <w:r w:rsidR="00B9788A">
        <w:rPr>
          <w:i/>
          <w:iCs/>
          <w:sz w:val="20"/>
          <w:szCs w:val="20"/>
        </w:rPr>
        <w:t xml:space="preserve">shows </w:t>
      </w:r>
      <w:r w:rsidR="006D281F">
        <w:rPr>
          <w:i/>
          <w:iCs/>
          <w:sz w:val="20"/>
          <w:szCs w:val="20"/>
        </w:rPr>
        <w:t>initial settlement due to this too being installed in a deep, backhoe</w:t>
      </w:r>
      <w:r w:rsidR="00752973">
        <w:rPr>
          <w:i/>
          <w:iCs/>
          <w:sz w:val="20"/>
          <w:szCs w:val="20"/>
        </w:rPr>
        <w:t>-</w:t>
      </w:r>
      <w:r w:rsidR="006D281F">
        <w:rPr>
          <w:i/>
          <w:iCs/>
          <w:sz w:val="20"/>
          <w:szCs w:val="20"/>
        </w:rPr>
        <w:t>excavated trench.</w:t>
      </w:r>
    </w:p>
    <w:p w14:paraId="6B73724E" w14:textId="77777777" w:rsidR="00BB1F7B" w:rsidRDefault="00BB1F7B">
      <w:pPr>
        <w:rPr>
          <w:i/>
          <w:iCs/>
          <w:sz w:val="20"/>
          <w:szCs w:val="20"/>
        </w:rPr>
      </w:pPr>
    </w:p>
    <w:p w14:paraId="43BD353E" w14:textId="1E7BBB9E" w:rsidR="00BB1F7B" w:rsidRDefault="00BB1F7B">
      <w:pPr>
        <w:rPr>
          <w:i/>
          <w:iCs/>
          <w:sz w:val="20"/>
          <w:szCs w:val="20"/>
        </w:rPr>
      </w:pPr>
      <w:r w:rsidRPr="00BB1F7B">
        <w:rPr>
          <w:i/>
          <w:iCs/>
          <w:noProof/>
          <w:sz w:val="20"/>
          <w:szCs w:val="20"/>
        </w:rPr>
        <w:drawing>
          <wp:inline distT="0" distB="0" distL="0" distR="0" wp14:anchorId="0BD9502D" wp14:editId="380C7302">
            <wp:extent cx="5943600" cy="3640455"/>
            <wp:effectExtent l="0" t="0" r="0" b="4445"/>
            <wp:docPr id="1410772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724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88E79" w14:textId="77777777" w:rsidR="00BB1F7B" w:rsidRDefault="00BB1F7B">
      <w:pPr>
        <w:rPr>
          <w:i/>
          <w:iCs/>
          <w:sz w:val="20"/>
          <w:szCs w:val="20"/>
        </w:rPr>
      </w:pPr>
    </w:p>
    <w:p w14:paraId="451BD6E0" w14:textId="77777777" w:rsidR="00BD6B0D" w:rsidRDefault="00BD6B0D">
      <w:pPr>
        <w:rPr>
          <w:i/>
          <w:iCs/>
          <w:sz w:val="20"/>
          <w:szCs w:val="20"/>
        </w:rPr>
      </w:pPr>
    </w:p>
    <w:p w14:paraId="00B3DED6" w14:textId="7364BA87" w:rsidR="00752973" w:rsidRPr="00752973" w:rsidRDefault="00DB5493">
      <w:r>
        <w:t xml:space="preserve">Figure 1 </w:t>
      </w:r>
      <w:r w:rsidR="00752973" w:rsidRPr="00752973">
        <w:t xml:space="preserve">Graphical summary of </w:t>
      </w:r>
      <w:r w:rsidR="00752973">
        <w:t>creep signals measured at the sites mentioned in this report.</w:t>
      </w:r>
      <w:r>
        <w:t xml:space="preserve">  Ortho indicates an extensometer installed normal to the fault</w:t>
      </w:r>
      <w:r w:rsidR="004D4F62">
        <w:t xml:space="preserve">, close to </w:t>
      </w:r>
      <w:r>
        <w:t xml:space="preserve">the </w:t>
      </w:r>
      <w:r w:rsidR="00463B2D">
        <w:t xml:space="preserve">observed </w:t>
      </w:r>
      <w:r>
        <w:t xml:space="preserve">oblique component </w:t>
      </w:r>
      <w:r w:rsidR="004D4F62">
        <w:t xml:space="preserve">monitoring </w:t>
      </w:r>
      <w:r>
        <w:t>sinistral slip.</w:t>
      </w:r>
      <w:r w:rsidR="00A242A5">
        <w:t xml:space="preserve">  Data from the </w:t>
      </w:r>
      <w:r w:rsidR="00E64AA0">
        <w:t>N</w:t>
      </w:r>
      <w:r w:rsidR="00A242A5">
        <w:t xml:space="preserve">orth Anatolian fault </w:t>
      </w:r>
      <w:r w:rsidR="00E64AA0">
        <w:t xml:space="preserve">(viz. Ismetpasa, </w:t>
      </w:r>
      <w:r w:rsidR="00A242A5">
        <w:t>are archived elsewhere (</w:t>
      </w:r>
      <w:r w:rsidR="00364C4F">
        <w:t>NSF Gage facility).</w:t>
      </w:r>
    </w:p>
    <w:p w14:paraId="375E3E2B" w14:textId="77777777" w:rsidR="00752973" w:rsidRDefault="00752973">
      <w:pPr>
        <w:rPr>
          <w:i/>
          <w:iCs/>
          <w:sz w:val="20"/>
          <w:szCs w:val="20"/>
        </w:rPr>
      </w:pPr>
    </w:p>
    <w:p w14:paraId="3F9CF5D5" w14:textId="56CD689E" w:rsidR="00720D53" w:rsidRPr="00752973" w:rsidRDefault="00720D53" w:rsidP="00FA106A">
      <w:pPr>
        <w:ind w:left="450" w:hanging="450"/>
        <w:rPr>
          <w:b/>
          <w:bCs/>
          <w:color w:val="222222"/>
          <w:shd w:val="clear" w:color="auto" w:fill="FFFFFF"/>
        </w:rPr>
      </w:pPr>
      <w:r w:rsidRPr="00752973">
        <w:rPr>
          <w:b/>
          <w:bCs/>
          <w:color w:val="222222"/>
          <w:shd w:val="clear" w:color="auto" w:fill="FFFFFF"/>
        </w:rPr>
        <w:t>References</w:t>
      </w:r>
    </w:p>
    <w:p w14:paraId="27613224" w14:textId="77777777" w:rsidR="00720D53" w:rsidRPr="00720D53" w:rsidRDefault="00720D53" w:rsidP="00FA106A">
      <w:pPr>
        <w:ind w:left="450" w:hanging="450"/>
        <w:rPr>
          <w:color w:val="222222"/>
          <w:shd w:val="clear" w:color="auto" w:fill="FFFFFF"/>
        </w:rPr>
      </w:pPr>
    </w:p>
    <w:p w14:paraId="59620C81" w14:textId="5F5501D9" w:rsidR="00BD6B0D" w:rsidRDefault="00FA106A" w:rsidP="00FA106A">
      <w:pPr>
        <w:ind w:left="450" w:hanging="450"/>
        <w:rPr>
          <w:color w:val="222222"/>
          <w:shd w:val="clear" w:color="auto" w:fill="FFFFFF"/>
        </w:rPr>
      </w:pPr>
      <w:proofErr w:type="spellStart"/>
      <w:r w:rsidRPr="00B464F9">
        <w:rPr>
          <w:color w:val="222222"/>
          <w:shd w:val="clear" w:color="auto" w:fill="FFFFFF"/>
        </w:rPr>
        <w:lastRenderedPageBreak/>
        <w:t>Ayruk</w:t>
      </w:r>
      <w:proofErr w:type="spellEnd"/>
      <w:r w:rsidRPr="00B464F9">
        <w:rPr>
          <w:color w:val="222222"/>
          <w:shd w:val="clear" w:color="auto" w:fill="FFFFFF"/>
        </w:rPr>
        <w:t>,</w:t>
      </w:r>
      <w:r w:rsidR="00B464F9" w:rsidRPr="00B464F9">
        <w:rPr>
          <w:color w:val="222222"/>
          <w:shd w:val="clear" w:color="auto" w:fill="FFFFFF"/>
        </w:rPr>
        <w:t xml:space="preserve"> Efe T.</w:t>
      </w:r>
      <w:proofErr w:type="gramStart"/>
      <w:r w:rsidR="00B464F9" w:rsidRPr="00B464F9">
        <w:rPr>
          <w:color w:val="222222"/>
          <w:shd w:val="clear" w:color="auto" w:fill="FFFFFF"/>
        </w:rPr>
        <w:t xml:space="preserve">, </w:t>
      </w:r>
      <w:r w:rsidRPr="00B464F9">
        <w:rPr>
          <w:color w:val="222222"/>
          <w:shd w:val="clear" w:color="auto" w:fill="FFFFFF"/>
        </w:rPr>
        <w:t xml:space="preserve"> Muhammed</w:t>
      </w:r>
      <w:proofErr w:type="gramEnd"/>
      <w:r w:rsidRPr="00B464F9">
        <w:rPr>
          <w:color w:val="222222"/>
          <w:shd w:val="clear" w:color="auto" w:fill="FFFFFF"/>
        </w:rPr>
        <w:t xml:space="preserve"> </w:t>
      </w:r>
      <w:proofErr w:type="spellStart"/>
      <w:r w:rsidRPr="00B464F9">
        <w:rPr>
          <w:color w:val="222222"/>
          <w:shd w:val="clear" w:color="auto" w:fill="FFFFFF"/>
        </w:rPr>
        <w:t>Turǧut</w:t>
      </w:r>
      <w:proofErr w:type="spellEnd"/>
      <w:r w:rsidRPr="00B464F9">
        <w:rPr>
          <w:color w:val="222222"/>
          <w:shd w:val="clear" w:color="auto" w:fill="FFFFFF"/>
        </w:rPr>
        <w:t xml:space="preserve">, İlay </w:t>
      </w:r>
      <w:proofErr w:type="spellStart"/>
      <w:r w:rsidRPr="00B464F9">
        <w:rPr>
          <w:color w:val="222222"/>
          <w:shd w:val="clear" w:color="auto" w:fill="FFFFFF"/>
        </w:rPr>
        <w:t>Farımaz</w:t>
      </w:r>
      <w:proofErr w:type="spellEnd"/>
      <w:r w:rsidRPr="00B464F9">
        <w:rPr>
          <w:color w:val="222222"/>
          <w:shd w:val="clear" w:color="auto" w:fill="FFFFFF"/>
        </w:rPr>
        <w:t xml:space="preserve">, Mehmet </w:t>
      </w:r>
      <w:proofErr w:type="spellStart"/>
      <w:r w:rsidRPr="00B464F9">
        <w:rPr>
          <w:color w:val="222222"/>
          <w:shd w:val="clear" w:color="auto" w:fill="FFFFFF"/>
        </w:rPr>
        <w:t>Köküm</w:t>
      </w:r>
      <w:proofErr w:type="spellEnd"/>
      <w:r w:rsidRPr="00B464F9">
        <w:rPr>
          <w:color w:val="222222"/>
          <w:shd w:val="clear" w:color="auto" w:fill="FFFFFF"/>
        </w:rPr>
        <w:t xml:space="preserve">, Roger Bilham, </w:t>
      </w:r>
      <w:proofErr w:type="spellStart"/>
      <w:r w:rsidRPr="00B464F9">
        <w:rPr>
          <w:color w:val="222222"/>
          <w:shd w:val="clear" w:color="auto" w:fill="FFFFFF"/>
        </w:rPr>
        <w:t>Uǧur</w:t>
      </w:r>
      <w:proofErr w:type="spellEnd"/>
      <w:r w:rsidRPr="00B464F9">
        <w:rPr>
          <w:color w:val="222222"/>
          <w:shd w:val="clear" w:color="auto" w:fill="FFFFFF"/>
        </w:rPr>
        <w:t xml:space="preserve"> </w:t>
      </w:r>
      <w:proofErr w:type="spellStart"/>
      <w:r w:rsidRPr="00B464F9">
        <w:rPr>
          <w:color w:val="222222"/>
          <w:shd w:val="clear" w:color="auto" w:fill="FFFFFF"/>
        </w:rPr>
        <w:t>Doǧan</w:t>
      </w:r>
      <w:proofErr w:type="spellEnd"/>
      <w:r w:rsidR="00752973">
        <w:rPr>
          <w:color w:val="222222"/>
          <w:shd w:val="clear" w:color="auto" w:fill="FFFFFF"/>
        </w:rPr>
        <w:t xml:space="preserve"> </w:t>
      </w:r>
      <w:r w:rsidR="00752973">
        <w:rPr>
          <w:rFonts w:eastAsiaTheme="majorEastAsia"/>
          <w:shd w:val="clear" w:color="auto" w:fill="FFFFFF"/>
        </w:rPr>
        <w:t>(2024)</w:t>
      </w:r>
      <w:r w:rsidR="00752973" w:rsidRPr="00B464F9">
        <w:rPr>
          <w:rFonts w:eastAsiaTheme="majorEastAsia"/>
          <w:shd w:val="clear" w:color="auto" w:fill="FFFFFF"/>
        </w:rPr>
        <w:t>,</w:t>
      </w:r>
      <w:r w:rsidR="00752973" w:rsidRPr="00B464F9">
        <w:rPr>
          <w:color w:val="222222"/>
          <w:shd w:val="clear" w:color="auto" w:fill="FFFFFF"/>
        </w:rPr>
        <w:t xml:space="preserve"> </w:t>
      </w:r>
      <w:r w:rsidR="00BD6B0D" w:rsidRPr="00B464F9">
        <w:rPr>
          <w:rFonts w:eastAsiaTheme="majorEastAsia"/>
          <w:shd w:val="clear" w:color="auto" w:fill="FFFFFF"/>
        </w:rPr>
        <w:t>Afterslip of 6 February 2023 Kahramanmaras Earthquake Sequence: Preliminary Results</w:t>
      </w:r>
      <w:r w:rsidR="00752973">
        <w:rPr>
          <w:rFonts w:eastAsiaTheme="majorEastAsia"/>
          <w:shd w:val="clear" w:color="auto" w:fill="FFFFFF"/>
        </w:rPr>
        <w:t>,</w:t>
      </w:r>
      <w:r w:rsidR="000B579D">
        <w:rPr>
          <w:rFonts w:eastAsiaTheme="majorEastAsia"/>
          <w:shd w:val="clear" w:color="auto" w:fill="FFFFFF"/>
        </w:rPr>
        <w:t xml:space="preserve"> </w:t>
      </w:r>
      <w:r w:rsidRPr="00B464F9">
        <w:rPr>
          <w:color w:val="222222"/>
          <w:shd w:val="clear" w:color="auto" w:fill="FFFFFF"/>
        </w:rPr>
        <w:t>EGU General Assembly Conference Abstracts, 2024</w:t>
      </w:r>
    </w:p>
    <w:p w14:paraId="1066585D" w14:textId="3AFE03B6" w:rsidR="008B6ED6" w:rsidRPr="008B6ED6" w:rsidRDefault="008B6ED6" w:rsidP="008B6ED6">
      <w:r>
        <w:t xml:space="preserve">Bilham, R., (2024). </w:t>
      </w:r>
      <w:r w:rsidRPr="008B6ED6">
        <w:t xml:space="preserve">Kahramanmaras Afterslip Final Report </w:t>
      </w:r>
      <w:proofErr w:type="gramStart"/>
      <w:r w:rsidRPr="008B6ED6">
        <w:t xml:space="preserve">2024  </w:t>
      </w:r>
      <w:r w:rsidRPr="008B6ED6">
        <w:rPr>
          <w:i/>
          <w:iCs/>
        </w:rPr>
        <w:t>NSF</w:t>
      </w:r>
      <w:proofErr w:type="gramEnd"/>
      <w:r w:rsidRPr="008B6ED6">
        <w:rPr>
          <w:i/>
          <w:iCs/>
        </w:rPr>
        <w:t xml:space="preserve"> RAPID EAR 2318733</w:t>
      </w:r>
    </w:p>
    <w:p w14:paraId="48CCC4D3" w14:textId="4C09070E" w:rsidR="00720D53" w:rsidRPr="00B464F9" w:rsidRDefault="00B464F9" w:rsidP="00B464F9">
      <w:pPr>
        <w:ind w:left="450" w:hanging="450"/>
        <w:rPr>
          <w:rFonts w:eastAsia="Times"/>
          <w:color w:val="000000"/>
        </w:rPr>
      </w:pPr>
      <w:r w:rsidRPr="00B464F9">
        <w:rPr>
          <w:color w:val="000000"/>
        </w:rPr>
        <w:t xml:space="preserve">Bilham, R., and B. Castillo, (2020) The July 2019 Ridgecrest, California, earthquake sequence recorded by creepmeters: negligible epicentral afterslip and prolonged triggered slip at </w:t>
      </w:r>
      <w:proofErr w:type="spellStart"/>
      <w:r w:rsidRPr="00B464F9">
        <w:rPr>
          <w:color w:val="000000"/>
        </w:rPr>
        <w:t>teleseismic</w:t>
      </w:r>
      <w:proofErr w:type="spellEnd"/>
      <w:r w:rsidRPr="00B464F9">
        <w:rPr>
          <w:color w:val="000000"/>
        </w:rPr>
        <w:t xml:space="preserve"> distances, </w:t>
      </w:r>
      <w:r w:rsidRPr="00B464F9">
        <w:rPr>
          <w:i/>
          <w:iCs/>
          <w:color w:val="000000"/>
        </w:rPr>
        <w:t xml:space="preserve">Seismological Research Letters, </w:t>
      </w:r>
      <w:r w:rsidRPr="00B464F9">
        <w:rPr>
          <w:color w:val="000000"/>
          <w:shd w:val="clear" w:color="auto" w:fill="FFFFFF"/>
        </w:rPr>
        <w:t>91 (2A): 707–</w:t>
      </w:r>
      <w:proofErr w:type="gramStart"/>
      <w:r w:rsidRPr="00B464F9">
        <w:rPr>
          <w:color w:val="000000"/>
          <w:shd w:val="clear" w:color="auto" w:fill="FFFFFF"/>
        </w:rPr>
        <w:t>720</w:t>
      </w:r>
      <w:r w:rsidRPr="00B464F9">
        <w:t xml:space="preserve">  </w:t>
      </w:r>
      <w:proofErr w:type="spellStart"/>
      <w:r w:rsidRPr="00B464F9">
        <w:rPr>
          <w:rFonts w:eastAsia="Times"/>
          <w:color w:val="000000"/>
        </w:rPr>
        <w:t>doi</w:t>
      </w:r>
      <w:proofErr w:type="spellEnd"/>
      <w:proofErr w:type="gramEnd"/>
      <w:r w:rsidRPr="00B464F9">
        <w:rPr>
          <w:rFonts w:eastAsia="Times"/>
          <w:color w:val="000000"/>
        </w:rPr>
        <w:t xml:space="preserve">: </w:t>
      </w:r>
      <w:r w:rsidRPr="00B464F9">
        <w:rPr>
          <w:rFonts w:eastAsia="Times"/>
          <w:color w:val="0000FF"/>
        </w:rPr>
        <w:t>10.1785/0220190293</w:t>
      </w:r>
      <w:r w:rsidRPr="00B464F9">
        <w:rPr>
          <w:rFonts w:eastAsia="Times"/>
          <w:color w:val="000000"/>
        </w:rPr>
        <w:t>.</w:t>
      </w:r>
    </w:p>
    <w:p w14:paraId="2937642D" w14:textId="2E92248E" w:rsidR="00720D53" w:rsidRPr="00B464F9" w:rsidRDefault="00720D53" w:rsidP="00720D53">
      <w:pPr>
        <w:ind w:left="450" w:hanging="450"/>
      </w:pPr>
      <w:r w:rsidRPr="00B464F9">
        <w:rPr>
          <w:color w:val="000000"/>
        </w:rPr>
        <w:t>Langbein, J., R. Bilham, H. A. Snyder, and T. Ericksen</w:t>
      </w:r>
      <w:r w:rsidR="00B464F9" w:rsidRPr="00B464F9">
        <w:rPr>
          <w:color w:val="000000"/>
        </w:rPr>
        <w:t xml:space="preserve"> (2024).</w:t>
      </w:r>
      <w:r w:rsidRPr="00B464F9">
        <w:rPr>
          <w:color w:val="000000"/>
        </w:rPr>
        <w:t xml:space="preserve"> Summary of Creepmeter data from 1980 to 2020; measurements spanning the Hayward, Calaveras, and San Andreas faults in northern and central California, </w:t>
      </w:r>
      <w:r w:rsidRPr="00B464F9">
        <w:rPr>
          <w:i/>
          <w:iCs/>
          <w:color w:val="000000"/>
        </w:rPr>
        <w:t>U.S. Geological Survey Open File Report</w:t>
      </w:r>
      <w:r w:rsidRPr="00B464F9">
        <w:rPr>
          <w:color w:val="000000"/>
        </w:rPr>
        <w:t xml:space="preserve"> 2024-1011.  </w:t>
      </w:r>
      <w:r w:rsidRPr="00B464F9">
        <w:t xml:space="preserve"> 110 p., </w:t>
      </w:r>
      <w:hyperlink r:id="rId5" w:history="1">
        <w:r w:rsidRPr="00B464F9">
          <w:rPr>
            <w:rStyle w:val="Hyperlink"/>
            <w:rFonts w:eastAsiaTheme="minorEastAsia"/>
          </w:rPr>
          <w:t>https://doi.org/10.3133/ofr20241011</w:t>
        </w:r>
      </w:hyperlink>
      <w:r w:rsidRPr="00B464F9">
        <w:t>.</w:t>
      </w:r>
    </w:p>
    <w:p w14:paraId="239A2614" w14:textId="76800B1E" w:rsidR="00720D53" w:rsidRPr="00FA106A" w:rsidRDefault="00720D53" w:rsidP="00720D53">
      <w:pPr>
        <w:ind w:left="450" w:hanging="450"/>
        <w:rPr>
          <w:i/>
          <w:iCs/>
        </w:rPr>
      </w:pPr>
    </w:p>
    <w:sectPr w:rsidR="00720D53" w:rsidRPr="00FA106A" w:rsidSect="00AC2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6"/>
    <w:rsid w:val="0000657F"/>
    <w:rsid w:val="0002068F"/>
    <w:rsid w:val="00033BEE"/>
    <w:rsid w:val="000448AF"/>
    <w:rsid w:val="000448EB"/>
    <w:rsid w:val="00044F3F"/>
    <w:rsid w:val="00046FAA"/>
    <w:rsid w:val="00080A8C"/>
    <w:rsid w:val="000A49E8"/>
    <w:rsid w:val="000B0327"/>
    <w:rsid w:val="000B579D"/>
    <w:rsid w:val="000B5878"/>
    <w:rsid w:val="000D3509"/>
    <w:rsid w:val="000E23B2"/>
    <w:rsid w:val="000F659B"/>
    <w:rsid w:val="001302DB"/>
    <w:rsid w:val="00131399"/>
    <w:rsid w:val="0013628E"/>
    <w:rsid w:val="00140E9C"/>
    <w:rsid w:val="00150A98"/>
    <w:rsid w:val="00167921"/>
    <w:rsid w:val="001736F2"/>
    <w:rsid w:val="00175E54"/>
    <w:rsid w:val="00183098"/>
    <w:rsid w:val="001B28FF"/>
    <w:rsid w:val="001C6865"/>
    <w:rsid w:val="001C7EA9"/>
    <w:rsid w:val="001C7EE5"/>
    <w:rsid w:val="001D3D42"/>
    <w:rsid w:val="001E1C85"/>
    <w:rsid w:val="001F7559"/>
    <w:rsid w:val="00241A6A"/>
    <w:rsid w:val="00255687"/>
    <w:rsid w:val="0027301D"/>
    <w:rsid w:val="002A4D0B"/>
    <w:rsid w:val="002C1AA4"/>
    <w:rsid w:val="002C51CA"/>
    <w:rsid w:val="002C7AC6"/>
    <w:rsid w:val="002E79CD"/>
    <w:rsid w:val="002F3CA5"/>
    <w:rsid w:val="00325C08"/>
    <w:rsid w:val="003305A2"/>
    <w:rsid w:val="00362287"/>
    <w:rsid w:val="00364C4F"/>
    <w:rsid w:val="003753C8"/>
    <w:rsid w:val="00385E5B"/>
    <w:rsid w:val="003911C5"/>
    <w:rsid w:val="00393F9A"/>
    <w:rsid w:val="003A0056"/>
    <w:rsid w:val="003A29B0"/>
    <w:rsid w:val="003B7710"/>
    <w:rsid w:val="003C3C49"/>
    <w:rsid w:val="003D2712"/>
    <w:rsid w:val="003F438D"/>
    <w:rsid w:val="003F50AC"/>
    <w:rsid w:val="0040101B"/>
    <w:rsid w:val="004022BB"/>
    <w:rsid w:val="004109AA"/>
    <w:rsid w:val="0041565D"/>
    <w:rsid w:val="00431206"/>
    <w:rsid w:val="00441A4D"/>
    <w:rsid w:val="0044739E"/>
    <w:rsid w:val="0045200A"/>
    <w:rsid w:val="00454B48"/>
    <w:rsid w:val="00457646"/>
    <w:rsid w:val="00463B2D"/>
    <w:rsid w:val="00465EF9"/>
    <w:rsid w:val="004704AD"/>
    <w:rsid w:val="00477D8B"/>
    <w:rsid w:val="004808C5"/>
    <w:rsid w:val="004A02EF"/>
    <w:rsid w:val="004A59EC"/>
    <w:rsid w:val="004A6592"/>
    <w:rsid w:val="004A7920"/>
    <w:rsid w:val="004B18B9"/>
    <w:rsid w:val="004C5D69"/>
    <w:rsid w:val="004C7BEE"/>
    <w:rsid w:val="004D4EBC"/>
    <w:rsid w:val="004D4F62"/>
    <w:rsid w:val="004E1453"/>
    <w:rsid w:val="004E5D01"/>
    <w:rsid w:val="004F5D4A"/>
    <w:rsid w:val="005052BE"/>
    <w:rsid w:val="00511F49"/>
    <w:rsid w:val="00513329"/>
    <w:rsid w:val="005163A1"/>
    <w:rsid w:val="00526A24"/>
    <w:rsid w:val="00534988"/>
    <w:rsid w:val="00562BF1"/>
    <w:rsid w:val="00562DDD"/>
    <w:rsid w:val="00576558"/>
    <w:rsid w:val="00576661"/>
    <w:rsid w:val="00584472"/>
    <w:rsid w:val="00593BE8"/>
    <w:rsid w:val="0059719C"/>
    <w:rsid w:val="005A00C6"/>
    <w:rsid w:val="005B1AB2"/>
    <w:rsid w:val="005B2549"/>
    <w:rsid w:val="005C3808"/>
    <w:rsid w:val="005C7084"/>
    <w:rsid w:val="005E10D2"/>
    <w:rsid w:val="005E18D1"/>
    <w:rsid w:val="005E513F"/>
    <w:rsid w:val="00601694"/>
    <w:rsid w:val="00605B6D"/>
    <w:rsid w:val="00606C17"/>
    <w:rsid w:val="00610028"/>
    <w:rsid w:val="00613D15"/>
    <w:rsid w:val="006510D0"/>
    <w:rsid w:val="00652475"/>
    <w:rsid w:val="0067476B"/>
    <w:rsid w:val="0067593C"/>
    <w:rsid w:val="006760E9"/>
    <w:rsid w:val="00677867"/>
    <w:rsid w:val="00684BA1"/>
    <w:rsid w:val="00694466"/>
    <w:rsid w:val="006B2067"/>
    <w:rsid w:val="006B21D0"/>
    <w:rsid w:val="006D281F"/>
    <w:rsid w:val="006E645E"/>
    <w:rsid w:val="006F0A13"/>
    <w:rsid w:val="006F5F0C"/>
    <w:rsid w:val="007161CD"/>
    <w:rsid w:val="007205BC"/>
    <w:rsid w:val="00720D53"/>
    <w:rsid w:val="00730514"/>
    <w:rsid w:val="00733276"/>
    <w:rsid w:val="00752973"/>
    <w:rsid w:val="00761F52"/>
    <w:rsid w:val="00773554"/>
    <w:rsid w:val="007B253E"/>
    <w:rsid w:val="007E1EC7"/>
    <w:rsid w:val="007F0F73"/>
    <w:rsid w:val="00804D23"/>
    <w:rsid w:val="00805EA6"/>
    <w:rsid w:val="00824EB7"/>
    <w:rsid w:val="0083517C"/>
    <w:rsid w:val="008358EC"/>
    <w:rsid w:val="00837526"/>
    <w:rsid w:val="008407CC"/>
    <w:rsid w:val="00842AE6"/>
    <w:rsid w:val="00844294"/>
    <w:rsid w:val="008514F9"/>
    <w:rsid w:val="00857EC0"/>
    <w:rsid w:val="0087630F"/>
    <w:rsid w:val="0088246E"/>
    <w:rsid w:val="00882A5E"/>
    <w:rsid w:val="0088428E"/>
    <w:rsid w:val="00897AD8"/>
    <w:rsid w:val="008A4B22"/>
    <w:rsid w:val="008B6ED6"/>
    <w:rsid w:val="008D6A00"/>
    <w:rsid w:val="008F3E01"/>
    <w:rsid w:val="008F4FCE"/>
    <w:rsid w:val="008F5C6C"/>
    <w:rsid w:val="0091469C"/>
    <w:rsid w:val="0092206E"/>
    <w:rsid w:val="009261FE"/>
    <w:rsid w:val="00943A9A"/>
    <w:rsid w:val="00980148"/>
    <w:rsid w:val="00984081"/>
    <w:rsid w:val="00993938"/>
    <w:rsid w:val="009A6BD9"/>
    <w:rsid w:val="009B6307"/>
    <w:rsid w:val="009D45B0"/>
    <w:rsid w:val="009D4C06"/>
    <w:rsid w:val="009E2C6C"/>
    <w:rsid w:val="009F2D4E"/>
    <w:rsid w:val="009F641C"/>
    <w:rsid w:val="00A00451"/>
    <w:rsid w:val="00A07DA2"/>
    <w:rsid w:val="00A242A5"/>
    <w:rsid w:val="00A54822"/>
    <w:rsid w:val="00A571F1"/>
    <w:rsid w:val="00A8373D"/>
    <w:rsid w:val="00A92976"/>
    <w:rsid w:val="00AC2F67"/>
    <w:rsid w:val="00AD339F"/>
    <w:rsid w:val="00B12403"/>
    <w:rsid w:val="00B159EE"/>
    <w:rsid w:val="00B4006C"/>
    <w:rsid w:val="00B40B30"/>
    <w:rsid w:val="00B4262D"/>
    <w:rsid w:val="00B464F9"/>
    <w:rsid w:val="00B505C4"/>
    <w:rsid w:val="00B51EEE"/>
    <w:rsid w:val="00B60190"/>
    <w:rsid w:val="00B64344"/>
    <w:rsid w:val="00B95017"/>
    <w:rsid w:val="00B9788A"/>
    <w:rsid w:val="00BA0295"/>
    <w:rsid w:val="00BB1F7B"/>
    <w:rsid w:val="00BB5BAF"/>
    <w:rsid w:val="00BC2A93"/>
    <w:rsid w:val="00BD6B0D"/>
    <w:rsid w:val="00BF660B"/>
    <w:rsid w:val="00C04607"/>
    <w:rsid w:val="00C20E10"/>
    <w:rsid w:val="00C301FE"/>
    <w:rsid w:val="00C321BD"/>
    <w:rsid w:val="00C45FD9"/>
    <w:rsid w:val="00C55EB0"/>
    <w:rsid w:val="00C66604"/>
    <w:rsid w:val="00C717D6"/>
    <w:rsid w:val="00C919B0"/>
    <w:rsid w:val="00C95A95"/>
    <w:rsid w:val="00C979C2"/>
    <w:rsid w:val="00CC003D"/>
    <w:rsid w:val="00CD272F"/>
    <w:rsid w:val="00CD351B"/>
    <w:rsid w:val="00CD38AA"/>
    <w:rsid w:val="00CD3C99"/>
    <w:rsid w:val="00CD4E7A"/>
    <w:rsid w:val="00CD7E26"/>
    <w:rsid w:val="00D02796"/>
    <w:rsid w:val="00D077D1"/>
    <w:rsid w:val="00D65A1A"/>
    <w:rsid w:val="00D71F45"/>
    <w:rsid w:val="00D74172"/>
    <w:rsid w:val="00D84CEB"/>
    <w:rsid w:val="00D907D5"/>
    <w:rsid w:val="00DB2294"/>
    <w:rsid w:val="00DB2CF0"/>
    <w:rsid w:val="00DB52A4"/>
    <w:rsid w:val="00DB5493"/>
    <w:rsid w:val="00DC063E"/>
    <w:rsid w:val="00DC46A5"/>
    <w:rsid w:val="00DC658B"/>
    <w:rsid w:val="00DF1990"/>
    <w:rsid w:val="00DF710E"/>
    <w:rsid w:val="00E21C26"/>
    <w:rsid w:val="00E33D78"/>
    <w:rsid w:val="00E64AA0"/>
    <w:rsid w:val="00E731DB"/>
    <w:rsid w:val="00E87886"/>
    <w:rsid w:val="00E87FF0"/>
    <w:rsid w:val="00E9014F"/>
    <w:rsid w:val="00E920A1"/>
    <w:rsid w:val="00EE7C3C"/>
    <w:rsid w:val="00EF512E"/>
    <w:rsid w:val="00EF659A"/>
    <w:rsid w:val="00EF7941"/>
    <w:rsid w:val="00F0169A"/>
    <w:rsid w:val="00F0256D"/>
    <w:rsid w:val="00F02CC9"/>
    <w:rsid w:val="00F03C60"/>
    <w:rsid w:val="00F108B5"/>
    <w:rsid w:val="00F157AD"/>
    <w:rsid w:val="00F2695B"/>
    <w:rsid w:val="00F42DA7"/>
    <w:rsid w:val="00F52F22"/>
    <w:rsid w:val="00F6561F"/>
    <w:rsid w:val="00F72139"/>
    <w:rsid w:val="00F73A90"/>
    <w:rsid w:val="00F87B8D"/>
    <w:rsid w:val="00FA106A"/>
    <w:rsid w:val="00FC69D3"/>
    <w:rsid w:val="00FC7ADE"/>
    <w:rsid w:val="00FD170D"/>
    <w:rsid w:val="00FD4DF9"/>
    <w:rsid w:val="00FF0FC7"/>
    <w:rsid w:val="00FF2627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9109"/>
  <w15:chartTrackingRefBased/>
  <w15:docId w15:val="{066863F3-CD7D-FB4B-A95B-26ADDD2F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00C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0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0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0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0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0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0C6"/>
    <w:pPr>
      <w:keepNext/>
      <w:keepLines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0C6"/>
    <w:pPr>
      <w:keepNext/>
      <w:keepLines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0C6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0C6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0C6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0C6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0C6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0C6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0C6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0C6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0C6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0C6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00C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0C6"/>
    <w:pPr>
      <w:numPr>
        <w:ilvl w:val="1"/>
      </w:numPr>
      <w:spacing w:after="160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00C6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0C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noProof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00C6"/>
    <w:rPr>
      <w:rFonts w:eastAsiaTheme="minorEastAsia"/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0C6"/>
    <w:pPr>
      <w:ind w:left="720"/>
      <w:contextualSpacing/>
    </w:pPr>
    <w:rPr>
      <w:rFonts w:asciiTheme="minorHAnsi" w:eastAsiaTheme="minorEastAsia" w:hAnsiTheme="minorHAnsi" w:cstheme="minorBidi"/>
      <w:noProof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0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noProof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0C6"/>
    <w:rPr>
      <w:rFonts w:eastAsiaTheme="minorEastAsia"/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0C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rsid w:val="005A00C6"/>
  </w:style>
  <w:style w:type="paragraph" w:styleId="NormalWeb">
    <w:name w:val="Normal (Web)"/>
    <w:basedOn w:val="Normal"/>
    <w:uiPriority w:val="99"/>
    <w:unhideWhenUsed/>
    <w:rsid w:val="00EE7C3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7593C"/>
    <w:rPr>
      <w:color w:val="0000FF"/>
      <w:u w:val="single"/>
    </w:rPr>
  </w:style>
  <w:style w:type="character" w:customStyle="1" w:styleId="org">
    <w:name w:val="org"/>
    <w:basedOn w:val="DefaultParagraphFont"/>
    <w:rsid w:val="00FA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133/ofr20241011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 Bilham</dc:creator>
  <cp:keywords/>
  <dc:description/>
  <cp:lastModifiedBy>Roger G Bilham</cp:lastModifiedBy>
  <cp:revision>4</cp:revision>
  <dcterms:created xsi:type="dcterms:W3CDTF">2025-01-28T09:33:00Z</dcterms:created>
  <dcterms:modified xsi:type="dcterms:W3CDTF">2025-01-28T09:45:00Z</dcterms:modified>
</cp:coreProperties>
</file>